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8580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171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7"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_______________________________</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25, 2024</w:t>
      </w:r>
    </w:p>
    <w:p>
      <w:pPr>
        <w:spacing w:after="0" w:line="35" w:lineRule="exact"/>
        <w:rPr>
          <w:sz w:val="24"/>
          <w:szCs w:val="24"/>
          <w:color w:val="auto"/>
        </w:rPr>
      </w:pPr>
    </w:p>
    <w:p>
      <w:pPr>
        <w:ind w:left="3760"/>
        <w:spacing w:after="0"/>
        <w:rPr>
          <w:sz w:val="20"/>
          <w:szCs w:val="20"/>
          <w:color w:val="auto"/>
        </w:rPr>
      </w:pPr>
      <w:r>
        <w:rPr>
          <w:rFonts w:ascii="Arial" w:cs="Arial" w:eastAsia="Arial" w:hAnsi="Arial"/>
          <w:sz w:val="22"/>
          <w:szCs w:val="22"/>
          <w:color w:val="auto"/>
        </w:rPr>
        <w:t>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-1270</wp:posOffset>
            </wp:positionV>
            <wp:extent cx="3771900" cy="574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7190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1"/>
          <w:szCs w:val="11"/>
          <w:color w:val="FFFFFF"/>
        </w:rPr>
        <w:t>DOVER CORPORATION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 w:lineRule="exact"/>
        <w:rPr>
          <w:sz w:val="24"/>
          <w:szCs w:val="24"/>
          <w:color w:val="auto"/>
        </w:rPr>
      </w:pPr>
    </w:p>
    <w:p>
      <w:pPr>
        <w:ind w:left="3780"/>
        <w:spacing w:after="0"/>
        <w:rPr>
          <w:sz w:val="20"/>
          <w:szCs w:val="20"/>
          <w:color w:val="auto"/>
        </w:rPr>
      </w:pPr>
      <w:r>
        <w:rPr>
          <w:rFonts w:ascii="Arial" w:cs="Arial" w:eastAsia="Arial" w:hAnsi="Arial"/>
          <w:sz w:val="14"/>
          <w:szCs w:val="14"/>
          <w:color w:val="auto"/>
        </w:rPr>
        <w:t>______________________________________________</w:t>
      </w:r>
    </w:p>
    <w:p>
      <w:pPr>
        <w:sectPr>
          <w:pgSz w:w="11900" w:h="16838" w:orient="portrait"/>
          <w:cols w:equalWidth="0" w:num="1">
            <w:col w:w="11240"/>
          </w:cols>
          <w:pgMar w:left="320" w:top="1263" w:right="339" w:bottom="1440" w:gutter="0" w:footer="0" w:header="0"/>
        </w:sectPr>
      </w:pPr>
    </w:p>
    <w:p>
      <w:pPr>
        <w:spacing w:after="0" w:line="32"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ind w:left="440"/>
        <w:spacing w:after="0"/>
        <w:rPr>
          <w:sz w:val="20"/>
          <w:szCs w:val="20"/>
          <w:color w:val="auto"/>
        </w:rPr>
      </w:pPr>
      <w:r>
        <w:rPr>
          <w:rFonts w:ascii="Arial" w:cs="Arial" w:eastAsia="Arial" w:hAnsi="Arial"/>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1-4018</w:t>
      </w:r>
    </w:p>
    <w:p>
      <w:pPr>
        <w:spacing w:after="0" w:line="40"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53-0257888</w:t>
      </w:r>
    </w:p>
    <w:p>
      <w:pPr>
        <w:spacing w:after="0" w:line="40"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4080" w:space="720"/>
            <w:col w:w="2280" w:space="720"/>
            <w:col w:w="3440"/>
          </w:cols>
          <w:pgMar w:left="320" w:top="1263" w:right="339" w:bottom="1440" w:gutter="0" w:footer="0" w:header="0"/>
          <w:type w:val="continuous"/>
        </w:sectPr>
      </w:pPr>
    </w:p>
    <w:p>
      <w:pPr>
        <w:spacing w:after="0" w:line="35" w:lineRule="exact"/>
        <w:rPr>
          <w:sz w:val="24"/>
          <w:szCs w:val="24"/>
          <w:color w:val="auto"/>
        </w:rPr>
      </w:pPr>
    </w:p>
    <w:p>
      <w:pPr>
        <w:jc w:val="center"/>
        <w:ind w:right="3500"/>
        <w:spacing w:after="0"/>
        <w:rPr>
          <w:sz w:val="20"/>
          <w:szCs w:val="20"/>
          <w:color w:val="auto"/>
        </w:rPr>
      </w:pPr>
      <w:r>
        <w:rPr>
          <w:rFonts w:ascii="Arial" w:cs="Arial" w:eastAsia="Arial" w:hAnsi="Arial"/>
          <w:sz w:val="18"/>
          <w:szCs w:val="18"/>
          <w:b w:val="1"/>
          <w:bCs w:val="1"/>
          <w:color w:val="auto"/>
        </w:rPr>
        <w:t>3005 Highland Parkway</w:t>
      </w:r>
    </w:p>
    <w:p>
      <w:pPr>
        <w:spacing w:after="0" w:line="40" w:lineRule="exact"/>
        <w:rPr>
          <w:sz w:val="24"/>
          <w:szCs w:val="24"/>
          <w:color w:val="auto"/>
        </w:rPr>
      </w:pPr>
    </w:p>
    <w:p>
      <w:pPr>
        <w:jc w:val="center"/>
        <w:ind w:right="3500"/>
        <w:spacing w:after="0"/>
        <w:rPr>
          <w:sz w:val="20"/>
          <w:szCs w:val="20"/>
          <w:color w:val="auto"/>
        </w:rPr>
      </w:pPr>
      <w:r>
        <w:rPr>
          <w:rFonts w:ascii="Arial" w:cs="Arial" w:eastAsia="Arial" w:hAnsi="Arial"/>
          <w:sz w:val="18"/>
          <w:szCs w:val="18"/>
          <w:b w:val="1"/>
          <w:bCs w:val="1"/>
          <w:color w:val="auto"/>
        </w:rPr>
        <w:t>Downers Grove, Illinois</w:t>
      </w:r>
    </w:p>
    <w:p>
      <w:pPr>
        <w:spacing w:after="0" w:line="23" w:lineRule="exact"/>
        <w:rPr>
          <w:sz w:val="24"/>
          <w:szCs w:val="24"/>
          <w:color w:val="auto"/>
        </w:rPr>
      </w:pPr>
    </w:p>
    <w:p>
      <w:pPr>
        <w:jc w:val="center"/>
        <w:ind w:right="350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jc w:val="center"/>
        <w:ind w:right="1620"/>
        <w:spacing w:after="0"/>
        <w:rPr>
          <w:sz w:val="20"/>
          <w:szCs w:val="20"/>
          <w:color w:val="auto"/>
        </w:rPr>
      </w:pPr>
      <w:r>
        <w:rPr>
          <w:rFonts w:ascii="Arial" w:cs="Arial" w:eastAsia="Arial" w:hAnsi="Arial"/>
          <w:sz w:val="18"/>
          <w:szCs w:val="18"/>
          <w:b w:val="1"/>
          <w:bCs w:val="1"/>
          <w:color w:val="auto"/>
        </w:rPr>
        <w:t>60515</w:t>
      </w:r>
    </w:p>
    <w:p>
      <w:pPr>
        <w:spacing w:after="0" w:line="40" w:lineRule="exact"/>
        <w:rPr>
          <w:sz w:val="24"/>
          <w:szCs w:val="24"/>
          <w:color w:val="auto"/>
        </w:rPr>
      </w:pPr>
    </w:p>
    <w:p>
      <w:pPr>
        <w:jc w:val="center"/>
        <w:ind w:right="1620"/>
        <w:spacing w:after="0"/>
        <w:rPr>
          <w:sz w:val="20"/>
          <w:szCs w:val="20"/>
          <w:color w:val="auto"/>
        </w:rPr>
      </w:pPr>
      <w:r>
        <w:rPr>
          <w:rFonts w:ascii="Arial" w:cs="Arial" w:eastAsia="Arial" w:hAnsi="Arial"/>
          <w:sz w:val="18"/>
          <w:szCs w:val="18"/>
          <w:color w:val="auto"/>
        </w:rPr>
        <w:t>(Zip Code)</w:t>
      </w:r>
    </w:p>
    <w:p>
      <w:pPr>
        <w:spacing w:after="0" w:line="86" w:lineRule="exact"/>
        <w:rPr>
          <w:sz w:val="24"/>
          <w:szCs w:val="24"/>
          <w:color w:val="auto"/>
        </w:rPr>
      </w:pPr>
    </w:p>
    <w:p>
      <w:pPr>
        <w:sectPr>
          <w:pgSz w:w="11900" w:h="16838" w:orient="portrait"/>
          <w:cols w:equalWidth="0" w:num="2">
            <w:col w:w="8040" w:space="720"/>
            <w:col w:w="2480"/>
          </w:cols>
          <w:pgMar w:left="320" w:top="1263"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(630) 541-1540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ectPr>
          <w:pgSz w:w="11900" w:h="16838" w:orient="portrait"/>
          <w:cols w:equalWidth="0" w:num="1">
            <w:col w:w="11240"/>
          </w:cols>
          <w:pgMar w:left="320" w:top="1263" w:right="339" w:bottom="1440" w:gutter="0" w:footer="0" w:header="0"/>
          <w:type w:val="continuous"/>
        </w:sectPr>
      </w:pPr>
    </w:p>
    <w:p>
      <w:pPr>
        <w:spacing w:after="0" w:line="39" w:lineRule="exact"/>
        <w:rPr>
          <w:sz w:val="24"/>
          <w:szCs w:val="24"/>
          <w:color w:val="auto"/>
        </w:rPr>
      </w:pPr>
    </w:p>
    <w:p>
      <w:pPr>
        <w:ind w:left="3800"/>
        <w:spacing w:after="0"/>
        <w:rPr>
          <w:sz w:val="20"/>
          <w:szCs w:val="20"/>
          <w:color w:val="auto"/>
        </w:rPr>
      </w:pPr>
      <w:r>
        <w:rPr>
          <w:rFonts w:ascii="Arial" w:cs="Arial" w:eastAsia="Arial" w:hAnsi="Arial"/>
          <w:sz w:val="14"/>
          <w:szCs w:val="14"/>
          <w:color w:val="auto"/>
        </w:rPr>
        <w:t>______________________________________________</w:t>
      </w:r>
    </w:p>
    <w:p>
      <w:pPr>
        <w:spacing w:after="0" w:line="180"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9"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0"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26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Title of each class</w:t>
            </w:r>
          </w:p>
        </w:tc>
        <w:tc>
          <w:tcPr>
            <w:tcW w:w="26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55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DOV</w:t>
            </w:r>
          </w:p>
        </w:tc>
        <w:tc>
          <w:tcPr>
            <w:tcW w:w="5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23"/>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1.250% Notes due 2026</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DOV 26</w:t>
            </w:r>
          </w:p>
        </w:tc>
        <w:tc>
          <w:tcPr>
            <w:tcW w:w="5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23"/>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0.750% Notes due 2027</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DOV 27</w:t>
            </w:r>
          </w:p>
        </w:tc>
        <w:tc>
          <w:tcPr>
            <w:tcW w:w="5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bl>
    <w:p>
      <w:pPr>
        <w:spacing w:after="0" w:line="170"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2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3"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68580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July 25, 2024, Dover Corporation ("Dover") issued the Press Release attached hereto as Exhibit 99.1 announcing its results of operations for the quarter ended June 30, 2024.</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in this Current Report on Form 8-K, including Exhibit 99.1, is being furnished to the Securities and Exchange Commission (the “SEC”) and shall not be deemed to be incorporated by reference into any of Dover’s filings with the SEC under the Securities Act of 1933, as amended.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previously announced, on July 25, 2024, Dover will hold an investor conference call and webcast at 8:30 a.m. Central time (9:30 a.m..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Eastern time) to discuss its results of operations for the quarter ended June 30, 2024.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440" w:hanging="270"/>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furnished as part of this report: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99.1 Press Release dated July 25, 2024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104 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Date:   July 25, 2024</w:t>
            </w:r>
          </w:p>
        </w:tc>
        <w:tc>
          <w:tcPr>
            <w:tcW w:w="6940" w:type="dxa"/>
            <w:vAlign w:val="bottom"/>
            <w:gridSpan w:val="2"/>
          </w:tcPr>
          <w:p>
            <w:pPr>
              <w:ind w:left="1220"/>
              <w:spacing w:after="0"/>
              <w:rPr>
                <w:sz w:val="20"/>
                <w:szCs w:val="20"/>
                <w:color w:val="auto"/>
              </w:rPr>
            </w:pPr>
            <w:r>
              <w:rPr>
                <w:rFonts w:ascii="Arial" w:cs="Arial" w:eastAsia="Arial" w:hAnsi="Arial"/>
                <w:sz w:val="18"/>
                <w:szCs w:val="18"/>
                <w:b w:val="1"/>
                <w:bCs w:val="1"/>
                <w:color w:val="auto"/>
              </w:rPr>
              <w:t>DOVER CORPORATION</w:t>
            </w:r>
          </w:p>
        </w:tc>
      </w:tr>
      <w:tr>
        <w:trPr>
          <w:trHeight w:val="239"/>
        </w:trPr>
        <w:tc>
          <w:tcPr>
            <w:tcW w:w="2940" w:type="dxa"/>
            <w:vAlign w:val="bottom"/>
          </w:tcPr>
          <w:p>
            <w:pPr>
              <w:spacing w:after="0"/>
              <w:rPr>
                <w:sz w:val="20"/>
                <w:szCs w:val="20"/>
                <w:color w:val="auto"/>
              </w:rPr>
            </w:pPr>
          </w:p>
        </w:tc>
        <w:tc>
          <w:tcPr>
            <w:tcW w:w="6940" w:type="dxa"/>
            <w:vAlign w:val="bottom"/>
            <w:gridSpan w:val="2"/>
          </w:tcPr>
          <w:p>
            <w:pPr>
              <w:ind w:left="1220"/>
              <w:spacing w:after="0"/>
              <w:rPr>
                <w:sz w:val="20"/>
                <w:szCs w:val="20"/>
                <w:color w:val="auto"/>
              </w:rPr>
            </w:pPr>
            <w:r>
              <w:rPr>
                <w:rFonts w:ascii="Arial" w:cs="Arial" w:eastAsia="Arial" w:hAnsi="Arial"/>
                <w:sz w:val="18"/>
                <w:szCs w:val="18"/>
                <w:color w:val="auto"/>
              </w:rPr>
              <w:t>(Registrant)</w:t>
            </w:r>
          </w:p>
        </w:tc>
      </w:tr>
      <w:tr>
        <w:trPr>
          <w:trHeight w:val="455"/>
        </w:trPr>
        <w:tc>
          <w:tcPr>
            <w:tcW w:w="2940" w:type="dxa"/>
            <w:vAlign w:val="bottom"/>
          </w:tcPr>
          <w:p>
            <w:pPr>
              <w:spacing w:after="0"/>
              <w:rPr>
                <w:sz w:val="24"/>
                <w:szCs w:val="24"/>
                <w:color w:val="auto"/>
              </w:rPr>
            </w:pPr>
          </w:p>
        </w:tc>
        <w:tc>
          <w:tcPr>
            <w:tcW w:w="6940" w:type="dxa"/>
            <w:vAlign w:val="bottom"/>
            <w:gridSpan w:val="2"/>
          </w:tcPr>
          <w:p>
            <w:pPr>
              <w:ind w:left="1220"/>
              <w:spacing w:after="0"/>
              <w:rPr>
                <w:sz w:val="20"/>
                <w:szCs w:val="20"/>
                <w:color w:val="auto"/>
              </w:rPr>
            </w:pPr>
            <w:r>
              <w:rPr>
                <w:rFonts w:ascii="Arial" w:cs="Arial" w:eastAsia="Arial" w:hAnsi="Arial"/>
                <w:sz w:val="18"/>
                <w:szCs w:val="18"/>
                <w:color w:val="auto"/>
              </w:rPr>
              <w:t>By:  /s/ Ivonne M. Cabrera</w:t>
            </w:r>
          </w:p>
        </w:tc>
      </w:tr>
      <w:tr>
        <w:trPr>
          <w:trHeight w:val="218"/>
        </w:trPr>
        <w:tc>
          <w:tcPr>
            <w:tcW w:w="2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Ivonne M. Cabrera</w:t>
            </w:r>
          </w:p>
        </w:tc>
      </w:tr>
      <w:tr>
        <w:trPr>
          <w:trHeight w:val="239"/>
        </w:trPr>
        <w:tc>
          <w:tcPr>
            <w:tcW w:w="2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Senior Vice President, General Counsel &amp; Secretary</w:t>
            </w:r>
          </w:p>
        </w:tc>
      </w:tr>
    </w:tbl>
    <w:p>
      <w:pPr>
        <w:sectPr>
          <w:pgSz w:w="11900" w:h="16838" w:orient="portrait"/>
          <w:cols w:equalWidth="0" w:num="1">
            <w:col w:w="11240"/>
          </w:cols>
          <w:pgMar w:left="320" w:top="89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577340" cy="539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539750"/>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Investor Contact: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Jack Dickens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Director - Investor Relations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(630) 743-2566</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jdickens@dovercorp.com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Adrian Sakowicz</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 Communications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(630) 743-5039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asakowicz@dovercorp.com</w:t>
      </w:r>
    </w:p>
    <w:p>
      <w:pPr>
        <w:spacing w:after="0" w:line="200" w:lineRule="exact"/>
        <w:rPr>
          <w:sz w:val="20"/>
          <w:szCs w:val="20"/>
          <w:color w:val="auto"/>
        </w:rPr>
      </w:pPr>
    </w:p>
    <w:p>
      <w:pPr>
        <w:sectPr>
          <w:pgSz w:w="11900" w:h="16838" w:orient="portrait"/>
          <w:cols w:equalWidth="0" w:num="2">
            <w:col w:w="7060" w:space="720"/>
            <w:col w:w="3460"/>
          </w:cols>
          <w:pgMar w:left="320" w:top="764" w:right="339" w:bottom="1440" w:gutter="0" w:footer="0" w:header="0"/>
          <w:type w:val="continuous"/>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DOVER REPORTS SECOND QUARTER 2024 RESULTS</w:t>
      </w:r>
    </w:p>
    <w:p>
      <w:pPr>
        <w:sectPr>
          <w:pgSz w:w="11900" w:h="16838" w:orient="portrait"/>
          <w:cols w:equalWidth="0" w:num="1">
            <w:col w:w="11240"/>
          </w:cols>
          <w:pgMar w:left="320" w:top="764" w:right="33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 xml:space="preserve">DOWNERS GROVE, Ill., July 25, 2024 </w:t>
      </w:r>
      <w:r>
        <w:rPr>
          <w:rFonts w:ascii="Arial" w:cs="Arial" w:eastAsia="Arial" w:hAnsi="Arial"/>
          <w:sz w:val="18"/>
          <w:szCs w:val="18"/>
          <w:color w:val="auto"/>
        </w:rPr>
        <w:t>— Dover (NYSE: DOV), a diversified global manufacturer, announced its financial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ended June 30, 2024. All comparisons are to the comparable period of the prior fiscal year, unless otherwise noted.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 except per share data)</w:t>
            </w:r>
          </w:p>
        </w:tc>
        <w:tc>
          <w:tcPr>
            <w:tcW w:w="240" w:type="dxa"/>
            <w:vAlign w:val="bottom"/>
          </w:tcPr>
          <w:p>
            <w:pPr>
              <w:spacing w:after="0"/>
              <w:rPr>
                <w:sz w:val="20"/>
                <w:szCs w:val="20"/>
                <w:color w:val="auto"/>
              </w:rPr>
            </w:pPr>
          </w:p>
        </w:tc>
        <w:tc>
          <w:tcPr>
            <w:tcW w:w="3720" w:type="dxa"/>
            <w:vAlign w:val="bottom"/>
            <w:gridSpan w:val="8"/>
          </w:tcPr>
          <w:p>
            <w:pPr>
              <w:jc w:val="right"/>
              <w:ind w:right="860"/>
              <w:spacing w:after="0"/>
              <w:rPr>
                <w:sz w:val="20"/>
                <w:szCs w:val="20"/>
                <w:color w:val="auto"/>
              </w:rPr>
            </w:pPr>
            <w:r>
              <w:rPr>
                <w:rFonts w:ascii="Arial" w:cs="Arial" w:eastAsia="Arial" w:hAnsi="Arial"/>
                <w:sz w:val="18"/>
                <w:szCs w:val="18"/>
                <w:b w:val="1"/>
                <w:bCs w:val="1"/>
                <w:color w:val="auto"/>
              </w:rPr>
              <w:t>Three Months Ended June 30,</w:t>
            </w:r>
          </w:p>
        </w:tc>
        <w:tc>
          <w:tcPr>
            <w:tcW w:w="3400" w:type="dxa"/>
            <w:vAlign w:val="bottom"/>
            <w:gridSpan w:val="6"/>
          </w:tcPr>
          <w:p>
            <w:pPr>
              <w:jc w:val="right"/>
              <w:ind w:right="57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vMerge w:val="continue"/>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GAAP</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2,178</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Pr>
          <w:p>
            <w:pPr>
              <w:spacing w:after="0"/>
              <w:rPr>
                <w:sz w:val="19"/>
                <w:szCs w:val="19"/>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4 % $</w:t>
            </w:r>
          </w:p>
        </w:tc>
        <w:tc>
          <w:tcPr>
            <w:tcW w:w="860" w:type="dxa"/>
            <w:vAlign w:val="bottom"/>
          </w:tcPr>
          <w:p>
            <w:pPr>
              <w:jc w:val="right"/>
              <w:spacing w:after="0"/>
              <w:rPr>
                <w:sz w:val="20"/>
                <w:szCs w:val="20"/>
                <w:color w:val="auto"/>
              </w:rPr>
            </w:pPr>
            <w:r>
              <w:rPr>
                <w:rFonts w:ascii="Arial" w:cs="Arial" w:eastAsia="Arial" w:hAnsi="Arial"/>
                <w:sz w:val="18"/>
                <w:szCs w:val="18"/>
                <w:color w:val="auto"/>
              </w:rPr>
              <w:t>4,272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4,179</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Non-GAAP</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Organic revenue change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net earnings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diluted EPS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80" w:firstLine="8"/>
        <w:spacing w:after="0" w:line="202" w:lineRule="auto"/>
        <w:tabs>
          <w:tab w:leader="none" w:pos="8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Q2 and year-to-date 2024 and 2023 adjusted net earnings exclude after tax purchase accounting expenses and restructuring and other costs. Year-to-date 2024 excludes the after tax gain on the sale of De-Sta-Co.</w:t>
      </w:r>
    </w:p>
    <w:p>
      <w:pPr>
        <w:spacing w:after="0" w:line="1" w:lineRule="exact"/>
        <w:rPr>
          <w:rFonts w:ascii="Arial" w:cs="Arial" w:eastAsia="Arial" w:hAnsi="Arial"/>
          <w:sz w:val="16"/>
          <w:szCs w:val="16"/>
          <w:color w:val="auto"/>
          <w:vertAlign w:val="superscript"/>
        </w:rPr>
      </w:pPr>
    </w:p>
    <w:p>
      <w:pPr>
        <w:spacing w:after="0"/>
        <w:rPr>
          <w:rFonts w:ascii="Arial" w:cs="Arial" w:eastAsia="Arial" w:hAnsi="Arial"/>
          <w:sz w:val="16"/>
          <w:szCs w:val="16"/>
          <w:color w:val="auto"/>
          <w:vertAlign w:val="superscript"/>
        </w:rPr>
      </w:pPr>
      <w:r>
        <w:rPr>
          <w:rFonts w:ascii="Arial" w:cs="Arial" w:eastAsia="Arial" w:hAnsi="Arial"/>
          <w:sz w:val="13"/>
          <w:szCs w:val="13"/>
          <w:color w:val="auto"/>
        </w:rPr>
        <w:t>* Change may be impacted by rounding.</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quarter ended June 30, 2024, Dover generated revenue of $2.2 billion, an increase of 4% (+5% organic). GAAP net earnings of $282 million increased 16%, and GAAP diluted EPS of $2.04 was up 19%. On an adjusted basis, net earnings of $327 million increased 14% and adjusted diluted EPS of $2.36 was up 15%.</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six months ended June 30, 2024, Dover generated revenue of $4.3 billion, an increase of 2% (+2% organic) compared to the prior year. GAAP net earnings of $914 million increased by 94%, and GAAP diluted EPS of $6.57 was up 96%. On an adjusted basis, net earnings of $600 million increased 7%, and adjusted diluted EPS of $4.31 was up 8% compared to the prior year.</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full reconciliation between GAAP and adjusted measures and definitions of non-GAAP and other performance measures are included as an exhibit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Dover’s President and Chief Executive Officer, Richard J. Tobin, said, “Dover’s second quarter results were solid, driven by excellent</w:t>
      </w:r>
    </w:p>
    <w:p>
      <w:pPr>
        <w:spacing w:after="0" w:line="1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production performance and strong shipment rates on orders received. Volume strength was broad-based across the portfolio, with four of our five operating segments posting top-line growth. Margin expansion was robust during the period due to previous portfolio additions, positive mix impact from our growth platforms, and our rigorous cost containment and productivity actions. Order trends continued their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positive trajectory, bolstering our confidence in the second half outlook.</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strong operational results were complemented by ongoing portfolio actions. We completed two highly strategic bolt-on acquisitions that enhance our clean energy components platform, adding applications in highly attractive end markets and</w:t>
      </w:r>
    </w:p>
    <w:p>
      <w:pPr>
        <w:sectPr>
          <w:pgSz w:w="11900" w:h="16838" w:orient="portrait"/>
          <w:cols w:equalWidth="0" w:num="1">
            <w:col w:w="11240"/>
          </w:cols>
          <w:pgMar w:left="320" w:top="764" w:right="339" w:bottom="1440" w:gutter="0" w:footer="0" w:header="0"/>
          <w:type w:val="continuous"/>
        </w:sectPr>
      </w:pPr>
    </w:p>
    <w:bookmarkStart w:id="4" w:name="page5"/>
    <w:bookmarkEnd w:id="4"/>
    <w:p>
      <w:pPr>
        <w:jc w:val="both"/>
        <w:spacing w:after="0" w:line="237" w:lineRule="auto"/>
        <w:rPr>
          <w:sz w:val="20"/>
          <w:szCs w:val="20"/>
          <w:color w:val="auto"/>
        </w:rPr>
      </w:pPr>
      <w:r>
        <w:rPr>
          <w:rFonts w:ascii="Arial" w:cs="Arial" w:eastAsia="Arial" w:hAnsi="Arial"/>
          <w:sz w:val="18"/>
          <w:szCs w:val="18"/>
          <w:color w:val="auto"/>
        </w:rPr>
        <w:t>expanding our global reach and manufacturing base. We also announced the divestiture of our Environmental Solutions Group business unit, reducing our exposure to capital goods as we continue to migrate the portfolio toward high margin priority platforms. Based on the</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development of our inorganic pipeline over the last few months, we believe we are entering a market with a significant opportunity for capital deployment, with enhanced capacity and optionality from the divestiture proceeds.</w:t>
      </w:r>
    </w:p>
    <w:p>
      <w:pPr>
        <w:spacing w:after="0" w:line="19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approaching the second half of 2024 constructively. Underlying end market demand is healthy and is supported by our sustained order rates. We are committed to achieving our full year guidance through a combination of organic growth, operational execution,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productive capital deployment.”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2024 GUIDANCE: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2024, Dover expects to generate GAAP EPS in the range of $10.80 to $10.95 (adjusted EPS of $9.05 to $9.20), based on full year revenue growth of 3% to 4% (2% to 3% on an organic basis). Full year 2024 guidance includes the Environmental Solutions Group business unit.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Dover will host a webcast and conference call to discuss its second quarter results at 9:30 A.M. Eastern Time (8:30 A.M. Central Time) on Thursday, July 25, 2024. The webcast can be accessed on the Dover website at dovercorporation.com. The conference call will also be made available for replay on the website. Additional information on Dover's results and its operating segments can be found on the Company's website.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DOVER:</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Dover is a diversified global manufacturer and solutions provider with annual revenue of over $8 billion. We deliver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Dover combines global scale with operational agility to lead the markets we serve. Recognized for our entrepreneurial approach for over 65 years, our team of approximately 25,000 employees takes an ownership mindset, collaborating with customers to redefine what's possible. Headquartered in Downers Grove, Illinois, Dover trades on the New York Stock Exchange under "DOV."</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All statements in this document other than statements of historical fact are statements that are, or could be deemed, "forward-looking" statements. Forward-looking statements are subject to numerous important risks, uncertainties, assumptions and other factors, some of which are beyond the Company's control. Factors that could cause actual results to differ materially from current expectations include, among other things, general economic conditions and conditions in the particular markets in which we operate; supply chain constraints and labor shortages that could result in production stoppages, inflation in material input costs and freight logistics; the impact of interest rate and currency exchange rate fluctuations; the impacts of natural or human-induced disasters, acts of war, terrorism, international conflicts, and public health crises on the global economy and on our customers, suppliers, employees, business and cash flows; changes in customer demand and capital spending; competitive factors and pricing pressures; our ability to develop and launch new products in a cost-effective manner; our ability to realize synergies from newly acquired businesses; and our ability to derive expected benefits from restructuring, productivity initiatives and other cost reduction actions. For details on the risks and uncertainties that could cause our results to differ materially from the forward-looking statements contained herein, we refer you to the documents we file with the Securities and Exchange Commission, including our Annual Report on Form 10-K for the year ended December 31, 2023, and our Quarterly Reports on Form 10-Q and Current Reports on Form 8-K. These documents are available from the Securities and Exchange Commission, and on our website, dovercorporation.com. The Company undertakes no obligation to publicly update any forward-looking statement, whether as a result of new information, future events or otherwise.</w:t>
      </w:r>
    </w:p>
    <w:p>
      <w:pPr>
        <w:sectPr>
          <w:pgSz w:w="11900" w:h="16838" w:orient="portrait"/>
          <w:cols w:equalWidth="0" w:num="1">
            <w:col w:w="11240"/>
          </w:cols>
          <w:pgMar w:left="320" w:top="107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INVESTOR SUPPLEMENT - SECOND QUARTER 2024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(unaudited)(in thousands, except per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8"/>
                <w:szCs w:val="18"/>
                <w:color w:val="auto"/>
              </w:rPr>
            </w:pPr>
          </w:p>
        </w:tc>
        <w:tc>
          <w:tcPr>
            <w:tcW w:w="280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48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2,178,262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2,100,086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4,272,203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4,179,109</w:t>
            </w: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and services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1,356,695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1,341,250</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2,693,381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2,673,254</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821,567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758,836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1,578,822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1,505,855</w:t>
            </w: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452,193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434,340</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915,317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866,754</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earnings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369,374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324,496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663,505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639,101</w:t>
            </w: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32,374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33,804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68,739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68,018</w:t>
            </w: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(4,744)</w:t>
            </w: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Loss (gain) on disposition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(529,280)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(12,872)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(6,678)</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(19,288)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(10,486)</w:t>
            </w:r>
          </w:p>
        </w:tc>
      </w:tr>
      <w:tr>
        <w:trPr>
          <w:trHeight w:val="209"/>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Earnings before provision for income taxes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353,289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300,023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1,152,171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586,313</w:t>
            </w: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57,784</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238,128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115,500</w:t>
            </w: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281,822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242,239</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914,043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470,813</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4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Net earnings per share: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15"/>
        </w:trPr>
        <w:tc>
          <w:tcPr>
            <w:tcW w:w="4860" w:type="dxa"/>
            <w:vAlign w:val="bottom"/>
          </w:tcPr>
          <w:p>
            <w:pPr>
              <w:ind w:left="36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1.72</w:t>
            </w:r>
          </w:p>
        </w:tc>
        <w:tc>
          <w:tcPr>
            <w:tcW w:w="1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6.57</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60" w:type="dxa"/>
            <w:vAlign w:val="bottom"/>
          </w:tcPr>
          <w:p>
            <w:pPr>
              <w:ind w:left="36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137,443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139,862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138,247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139,810</w:t>
            </w:r>
          </w:p>
        </w:tc>
      </w:tr>
      <w:tr>
        <w:trPr>
          <w:trHeight w:val="217"/>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140,578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140,597</w:t>
            </w:r>
          </w:p>
        </w:tc>
      </w:tr>
      <w:tr>
        <w:trPr>
          <w:trHeight w:val="270"/>
        </w:trPr>
        <w:tc>
          <w:tcPr>
            <w:tcW w:w="4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per common share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70"/>
        </w:trPr>
        <w:tc>
          <w:tcPr>
            <w:tcW w:w="4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Per share data may be impacted by rounding.</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60"/>
        </w:trPr>
        <w:tc>
          <w:tcPr>
            <w:tcW w:w="4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IS - 1</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bl>
    <w:p>
      <w:pPr>
        <w:sectPr>
          <w:pgSz w:w="11900" w:h="16838" w:orient="portrait"/>
          <w:cols w:equalWidth="0" w:num="1">
            <w:col w:w="11240"/>
          </w:cols>
          <w:pgMar w:left="320" w:top="607"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SEGMENT INFORMATION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(unaudited)(in thousands)</w:t>
      </w:r>
    </w:p>
    <w:p>
      <w:pPr>
        <w:spacing w:after="0" w:line="41" w:lineRule="exact"/>
        <w:rPr>
          <w:sz w:val="20"/>
          <w:szCs w:val="20"/>
          <w:color w:val="auto"/>
        </w:rPr>
      </w:pPr>
    </w:p>
    <w:tbl>
      <w:tblPr>
        <w:tblLayout w:type="fixed"/>
        <w:tblInd w:w="2360" w:type="dxa"/>
        <w:tblCellMar>
          <w:top w:w="0" w:type="dxa"/>
          <w:left w:w="0" w:type="dxa"/>
          <w:bottom w:w="0" w:type="dxa"/>
          <w:right w:w="0" w:type="dxa"/>
        </w:tblCellMar>
      </w:tblPr>
      <w:tr>
        <w:trPr>
          <w:trHeight w:val="197"/>
        </w:trPr>
        <w:tc>
          <w:tcPr>
            <w:tcW w:w="9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2023</w:t>
            </w:r>
          </w:p>
        </w:tc>
        <w:tc>
          <w:tcPr>
            <w:tcW w:w="8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5"/>
        </w:trPr>
        <w:tc>
          <w:tcPr>
            <w:tcW w:w="940" w:type="dxa"/>
            <w:vAlign w:val="bottom"/>
          </w:tcPr>
          <w:p>
            <w:pPr>
              <w:ind w:left="380"/>
              <w:spacing w:after="0"/>
              <w:rPr>
                <w:sz w:val="20"/>
                <w:szCs w:val="20"/>
                <w:color w:val="auto"/>
              </w:rPr>
            </w:pPr>
            <w:r>
              <w:rPr>
                <w:rFonts w:ascii="Arial" w:cs="Arial" w:eastAsia="Arial" w:hAnsi="Arial"/>
                <w:sz w:val="14"/>
                <w:szCs w:val="14"/>
                <w:b w:val="1"/>
                <w:bCs w:val="1"/>
                <w:color w:val="auto"/>
              </w:rPr>
              <w:t>Q1</w:t>
            </w:r>
          </w:p>
        </w:tc>
        <w:tc>
          <w:tcPr>
            <w:tcW w:w="940" w:type="dxa"/>
            <w:vAlign w:val="bottom"/>
          </w:tcPr>
          <w:p>
            <w:pPr>
              <w:jc w:val="center"/>
              <w:ind w:left="8"/>
              <w:spacing w:after="0"/>
              <w:rPr>
                <w:sz w:val="20"/>
                <w:szCs w:val="20"/>
                <w:color w:val="auto"/>
              </w:rPr>
            </w:pPr>
            <w:r>
              <w:rPr>
                <w:rFonts w:ascii="Arial" w:cs="Arial" w:eastAsia="Arial" w:hAnsi="Arial"/>
                <w:sz w:val="14"/>
                <w:szCs w:val="14"/>
                <w:b w:val="1"/>
                <w:bCs w:val="1"/>
                <w:color w:val="auto"/>
                <w:w w:val="96"/>
              </w:rPr>
              <w:t>Q2</w:t>
            </w: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Q2 YTD</w:t>
            </w:r>
          </w:p>
        </w:tc>
        <w:tc>
          <w:tcPr>
            <w:tcW w:w="960" w:type="dxa"/>
            <w:vAlign w:val="bottom"/>
          </w:tcPr>
          <w:p>
            <w:pPr>
              <w:ind w:left="380"/>
              <w:spacing w:after="0"/>
              <w:rPr>
                <w:sz w:val="20"/>
                <w:szCs w:val="20"/>
                <w:color w:val="auto"/>
              </w:rPr>
            </w:pPr>
            <w:r>
              <w:rPr>
                <w:rFonts w:ascii="Arial" w:cs="Arial" w:eastAsia="Arial" w:hAnsi="Arial"/>
                <w:sz w:val="14"/>
                <w:szCs w:val="14"/>
                <w:b w:val="1"/>
                <w:bCs w:val="1"/>
                <w:color w:val="auto"/>
              </w:rPr>
              <w:t>Q1</w:t>
            </w:r>
          </w:p>
        </w:tc>
        <w:tc>
          <w:tcPr>
            <w:tcW w:w="880" w:type="dxa"/>
            <w:vAlign w:val="bottom"/>
          </w:tcPr>
          <w:p>
            <w:pPr>
              <w:ind w:left="380"/>
              <w:spacing w:after="0"/>
              <w:rPr>
                <w:sz w:val="20"/>
                <w:szCs w:val="20"/>
                <w:color w:val="auto"/>
              </w:rPr>
            </w:pPr>
            <w:r>
              <w:rPr>
                <w:rFonts w:ascii="Arial" w:cs="Arial" w:eastAsia="Arial" w:hAnsi="Arial"/>
                <w:sz w:val="14"/>
                <w:szCs w:val="14"/>
                <w:b w:val="1"/>
                <w:bCs w:val="1"/>
                <w:color w:val="auto"/>
              </w:rPr>
              <w:t>Q2</w:t>
            </w:r>
          </w:p>
        </w:tc>
        <w:tc>
          <w:tcPr>
            <w:tcW w:w="880" w:type="dxa"/>
            <w:vAlign w:val="bottom"/>
          </w:tcPr>
          <w:p>
            <w:pPr>
              <w:ind w:left="320"/>
              <w:spacing w:after="0"/>
              <w:rPr>
                <w:sz w:val="20"/>
                <w:szCs w:val="20"/>
                <w:color w:val="auto"/>
              </w:rPr>
            </w:pPr>
            <w:r>
              <w:rPr>
                <w:rFonts w:ascii="Arial" w:cs="Arial" w:eastAsia="Arial" w:hAnsi="Arial"/>
                <w:sz w:val="14"/>
                <w:szCs w:val="14"/>
                <w:b w:val="1"/>
                <w:bCs w:val="1"/>
                <w:color w:val="auto"/>
              </w:rPr>
              <w:t>Q2 YTD</w:t>
            </w:r>
          </w:p>
        </w:tc>
        <w:tc>
          <w:tcPr>
            <w:tcW w:w="1160" w:type="dxa"/>
            <w:vAlign w:val="bottom"/>
          </w:tcPr>
          <w:p>
            <w:pPr>
              <w:jc w:val="right"/>
              <w:ind w:right="328"/>
              <w:spacing w:after="0"/>
              <w:rPr>
                <w:sz w:val="20"/>
                <w:szCs w:val="20"/>
                <w:color w:val="auto"/>
              </w:rPr>
            </w:pPr>
            <w:r>
              <w:rPr>
                <w:rFonts w:ascii="Arial" w:cs="Arial" w:eastAsia="Arial" w:hAnsi="Arial"/>
                <w:sz w:val="14"/>
                <w:szCs w:val="14"/>
                <w:b w:val="1"/>
                <w:bCs w:val="1"/>
                <w:color w:val="auto"/>
              </w:rPr>
              <w:t>Q3</w:t>
            </w:r>
          </w:p>
        </w:tc>
        <w:tc>
          <w:tcPr>
            <w:tcW w:w="880" w:type="dxa"/>
            <w:vAlign w:val="bottom"/>
          </w:tcPr>
          <w:p>
            <w:pPr>
              <w:ind w:left="380"/>
              <w:spacing w:after="0"/>
              <w:rPr>
                <w:sz w:val="20"/>
                <w:szCs w:val="20"/>
                <w:color w:val="auto"/>
              </w:rPr>
            </w:pPr>
            <w:r>
              <w:rPr>
                <w:rFonts w:ascii="Arial" w:cs="Arial" w:eastAsia="Arial" w:hAnsi="Arial"/>
                <w:sz w:val="14"/>
                <w:szCs w:val="14"/>
                <w:b w:val="1"/>
                <w:bCs w:val="1"/>
                <w:color w:val="auto"/>
              </w:rPr>
              <w:t>Q4</w:t>
            </w:r>
          </w:p>
        </w:tc>
        <w:tc>
          <w:tcPr>
            <w:tcW w:w="1060" w:type="dxa"/>
            <w:vAlign w:val="bottom"/>
          </w:tcPr>
          <w:p>
            <w:pPr>
              <w:ind w:left="300"/>
              <w:spacing w:after="0"/>
              <w:rPr>
                <w:sz w:val="20"/>
                <w:szCs w:val="20"/>
                <w:color w:val="auto"/>
              </w:rPr>
            </w:pPr>
            <w:r>
              <w:rPr>
                <w:rFonts w:ascii="Arial" w:cs="Arial" w:eastAsia="Arial" w:hAnsi="Arial"/>
                <w:sz w:val="14"/>
                <w:szCs w:val="14"/>
                <w:b w:val="1"/>
                <w:bCs w:val="1"/>
                <w:color w:val="auto"/>
              </w:rPr>
              <w:t>FY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710628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ectPr>
          <w:pgSz w:w="11900" w:h="16838" w:orient="portrait"/>
          <w:cols w:equalWidth="0" w:num="1">
            <w:col w:w="11180"/>
          </w:cols>
          <w:pgMar w:left="360" w:top="364" w:right="359" w:bottom="1440" w:gutter="0" w:footer="0" w:header="0"/>
        </w:sectPr>
      </w:pPr>
    </w:p>
    <w:tbl>
      <w:tblPr>
        <w:tblLayout w:type="fixed"/>
        <w:tblInd w:w="0" w:type="dxa"/>
        <w:tblCellMar>
          <w:top w:w="0" w:type="dxa"/>
          <w:left w:w="0" w:type="dxa"/>
          <w:bottom w:w="0" w:type="dxa"/>
          <w:right w:w="0" w:type="dxa"/>
        </w:tblCellMar>
      </w:tblPr>
      <w:tr>
        <w:trPr>
          <w:trHeight w:val="158"/>
        </w:trPr>
        <w:tc>
          <w:tcPr>
            <w:tcW w:w="236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REVENUE</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360" w:type="dxa"/>
            <w:vAlign w:val="bottom"/>
            <w:gridSpan w:val="2"/>
          </w:tcPr>
          <w:p>
            <w:pPr>
              <w:spacing w:after="0"/>
              <w:rPr>
                <w:sz w:val="20"/>
                <w:szCs w:val="20"/>
                <w:color w:val="auto"/>
              </w:rPr>
            </w:pPr>
            <w:r>
              <w:rPr>
                <w:rFonts w:ascii="Arial" w:cs="Arial" w:eastAsia="Arial" w:hAnsi="Arial"/>
                <w:sz w:val="16"/>
                <w:szCs w:val="16"/>
                <w:color w:val="auto"/>
              </w:rPr>
              <w:t>Engineered Products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543,140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514,837</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$ 1,057,977</w:t>
            </w: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6"/>
                <w:szCs w:val="16"/>
                <w:color w:val="auto"/>
              </w:rPr>
              <w:t>Clean Energy &amp; Fueling</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445,053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463,014</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908,067</w:t>
            </w: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6"/>
                <w:szCs w:val="16"/>
                <w:color w:val="auto"/>
              </w:rPr>
              <w:t>Imaging &amp; Identification</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276,806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287,593</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564,399</w:t>
            </w: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6"/>
                <w:szCs w:val="16"/>
                <w:color w:val="auto"/>
              </w:rPr>
              <w:t>Pumps &amp; Process Solutions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465,729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477,239</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942,968</w:t>
            </w:r>
          </w:p>
        </w:tc>
        <w:tc>
          <w:tcPr>
            <w:tcW w:w="0" w:type="dxa"/>
            <w:vAlign w:val="bottom"/>
          </w:tcPr>
          <w:p>
            <w:pPr>
              <w:spacing w:after="0"/>
              <w:rPr>
                <w:sz w:val="1"/>
                <w:szCs w:val="1"/>
                <w:color w:val="auto"/>
              </w:rPr>
            </w:pPr>
          </w:p>
        </w:tc>
      </w:tr>
      <w:tr>
        <w:trPr>
          <w:trHeight w:val="163"/>
        </w:trPr>
        <w:tc>
          <w:tcPr>
            <w:tcW w:w="2360" w:type="dxa"/>
            <w:vAlign w:val="bottom"/>
            <w:gridSpan w:val="2"/>
          </w:tcPr>
          <w:p>
            <w:pPr>
              <w:spacing w:after="0" w:line="163" w:lineRule="exact"/>
              <w:rPr>
                <w:sz w:val="20"/>
                <w:szCs w:val="20"/>
                <w:color w:val="auto"/>
              </w:rPr>
            </w:pPr>
            <w:r>
              <w:rPr>
                <w:rFonts w:ascii="Arial" w:cs="Arial" w:eastAsia="Arial" w:hAnsi="Arial"/>
                <w:sz w:val="16"/>
                <w:szCs w:val="16"/>
                <w:color w:val="auto"/>
              </w:rPr>
              <w:t>Climate &amp; Sustainability</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364,292</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436,706</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800,998</w:t>
            </w:r>
          </w:p>
        </w:tc>
        <w:tc>
          <w:tcPr>
            <w:tcW w:w="0" w:type="dxa"/>
            <w:vAlign w:val="bottom"/>
          </w:tcPr>
          <w:p>
            <w:pPr>
              <w:spacing w:after="0"/>
              <w:rPr>
                <w:sz w:val="1"/>
                <w:szCs w:val="1"/>
                <w:color w:val="auto"/>
              </w:rPr>
            </w:pPr>
          </w:p>
        </w:tc>
      </w:tr>
      <w:tr>
        <w:trPr>
          <w:trHeight w:val="215"/>
        </w:trPr>
        <w:tc>
          <w:tcPr>
            <w:tcW w:w="2360" w:type="dxa"/>
            <w:vAlign w:val="bottom"/>
            <w:gridSpan w:val="2"/>
          </w:tcPr>
          <w:p>
            <w:pPr>
              <w:spacing w:after="0"/>
              <w:rPr>
                <w:sz w:val="20"/>
                <w:szCs w:val="20"/>
                <w:color w:val="auto"/>
              </w:rPr>
            </w:pPr>
            <w:r>
              <w:rPr>
                <w:rFonts w:ascii="Arial" w:cs="Arial" w:eastAsia="Arial" w:hAnsi="Arial"/>
                <w:sz w:val="16"/>
                <w:szCs w:val="16"/>
                <w:color w:val="auto"/>
              </w:rPr>
              <w:t>Technologies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60" w:type="dxa"/>
            <w:vAlign w:val="bottom"/>
            <w:gridSpan w:val="2"/>
          </w:tcPr>
          <w:p>
            <w:pPr>
              <w:spacing w:after="0"/>
              <w:rPr>
                <w:sz w:val="20"/>
                <w:szCs w:val="20"/>
                <w:color w:val="auto"/>
              </w:rPr>
            </w:pPr>
            <w:r>
              <w:rPr>
                <w:rFonts w:ascii="Arial" w:cs="Arial" w:eastAsia="Arial" w:hAnsi="Arial"/>
                <w:sz w:val="16"/>
                <w:szCs w:val="16"/>
                <w:color w:val="auto"/>
              </w:rPr>
              <w:t>Intersegment eliminations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(2,206)</w:t>
            </w:r>
          </w:p>
        </w:tc>
        <w:tc>
          <w:tcPr>
            <w:tcW w:w="0" w:type="dxa"/>
            <w:vAlign w:val="bottom"/>
          </w:tcPr>
          <w:p>
            <w:pPr>
              <w:spacing w:after="0"/>
              <w:rPr>
                <w:sz w:val="1"/>
                <w:szCs w:val="1"/>
                <w:color w:val="auto"/>
              </w:rPr>
            </w:pPr>
          </w:p>
        </w:tc>
      </w:tr>
      <w:tr>
        <w:trPr>
          <w:trHeight w:val="209"/>
        </w:trPr>
        <w:tc>
          <w:tcPr>
            <w:tcW w:w="2360" w:type="dxa"/>
            <w:vAlign w:val="bottom"/>
            <w:gridSpan w:val="2"/>
          </w:tcPr>
          <w:p>
            <w:pPr>
              <w:spacing w:after="0"/>
              <w:rPr>
                <w:sz w:val="20"/>
                <w:szCs w:val="20"/>
                <w:color w:val="auto"/>
              </w:rPr>
            </w:pPr>
            <w:r>
              <w:rPr>
                <w:rFonts w:ascii="Arial" w:cs="Arial" w:eastAsia="Arial" w:hAnsi="Arial"/>
                <w:sz w:val="16"/>
                <w:szCs w:val="16"/>
                <w:color w:val="auto"/>
              </w:rPr>
              <w:t>Total consolidated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2,093,941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2,178,262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$ 4,272,203</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300" w:hanging="294"/>
        <w:spacing w:after="0"/>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497,549 $   473,687 </w:t>
      </w:r>
      <w:r>
        <w:rPr>
          <w:rFonts w:ascii="Arial" w:cs="Arial" w:eastAsia="Arial" w:hAnsi="Arial"/>
          <w:sz w:val="16"/>
          <w:szCs w:val="16"/>
          <w:b w:val="1"/>
          <w:bCs w:val="1"/>
          <w:color w:val="auto"/>
        </w:rPr>
        <w:t>$  971,236</w:t>
      </w:r>
      <w:r>
        <w:rPr>
          <w:rFonts w:ascii="Arial" w:cs="Arial" w:eastAsia="Arial" w:hAnsi="Arial"/>
          <w:sz w:val="16"/>
          <w:szCs w:val="16"/>
          <w:color w:val="auto"/>
        </w:rPr>
        <w:t xml:space="preserve"> $   504,271 $   529,080 </w:t>
      </w:r>
      <w:r>
        <w:rPr>
          <w:rFonts w:ascii="Arial" w:cs="Arial" w:eastAsia="Arial" w:hAnsi="Arial"/>
          <w:sz w:val="16"/>
          <w:szCs w:val="16"/>
          <w:b w:val="1"/>
          <w:bCs w:val="1"/>
          <w:color w:val="auto"/>
        </w:rPr>
        <w:t>$ 2,004,587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-3406140</wp:posOffset>
            </wp:positionH>
            <wp:positionV relativeFrom="paragraph">
              <wp:posOffset>20955</wp:posOffset>
            </wp:positionV>
            <wp:extent cx="710628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60" w:type="dxa"/>
            <w:vAlign w:val="bottom"/>
          </w:tcPr>
          <w:p>
            <w:pPr>
              <w:jc w:val="right"/>
              <w:spacing w:after="0"/>
              <w:rPr>
                <w:sz w:val="20"/>
                <w:szCs w:val="20"/>
                <w:color w:val="auto"/>
              </w:rPr>
            </w:pPr>
            <w:r>
              <w:rPr>
                <w:rFonts w:ascii="Arial" w:cs="Arial" w:eastAsia="Arial" w:hAnsi="Arial"/>
                <w:sz w:val="16"/>
                <w:szCs w:val="16"/>
                <w:color w:val="auto"/>
              </w:rPr>
              <w:t>430,729</w:t>
            </w:r>
          </w:p>
        </w:tc>
        <w:tc>
          <w:tcPr>
            <w:tcW w:w="960" w:type="dxa"/>
            <w:vAlign w:val="bottom"/>
          </w:tcPr>
          <w:p>
            <w:pPr>
              <w:jc w:val="right"/>
              <w:spacing w:after="0"/>
              <w:rPr>
                <w:sz w:val="20"/>
                <w:szCs w:val="20"/>
                <w:color w:val="auto"/>
              </w:rPr>
            </w:pPr>
            <w:r>
              <w:rPr>
                <w:rFonts w:ascii="Arial" w:cs="Arial" w:eastAsia="Arial" w:hAnsi="Arial"/>
                <w:sz w:val="16"/>
                <w:szCs w:val="16"/>
                <w:color w:val="auto"/>
              </w:rPr>
              <w:t>441,166</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871,895</w:t>
            </w:r>
          </w:p>
        </w:tc>
        <w:tc>
          <w:tcPr>
            <w:tcW w:w="980" w:type="dxa"/>
            <w:vAlign w:val="bottom"/>
          </w:tcPr>
          <w:p>
            <w:pPr>
              <w:jc w:val="right"/>
              <w:spacing w:after="0"/>
              <w:rPr>
                <w:sz w:val="20"/>
                <w:szCs w:val="20"/>
                <w:color w:val="auto"/>
              </w:rPr>
            </w:pPr>
            <w:r>
              <w:rPr>
                <w:rFonts w:ascii="Arial" w:cs="Arial" w:eastAsia="Arial" w:hAnsi="Arial"/>
                <w:sz w:val="16"/>
                <w:szCs w:val="16"/>
                <w:color w:val="auto"/>
              </w:rPr>
              <w:t>466,959</w:t>
            </w:r>
          </w:p>
        </w:tc>
        <w:tc>
          <w:tcPr>
            <w:tcW w:w="960" w:type="dxa"/>
            <w:vAlign w:val="bottom"/>
          </w:tcPr>
          <w:p>
            <w:pPr>
              <w:jc w:val="right"/>
              <w:spacing w:after="0"/>
              <w:rPr>
                <w:sz w:val="20"/>
                <w:szCs w:val="20"/>
                <w:color w:val="auto"/>
              </w:rPr>
            </w:pPr>
            <w:r>
              <w:rPr>
                <w:rFonts w:ascii="Arial" w:cs="Arial" w:eastAsia="Arial" w:hAnsi="Arial"/>
                <w:sz w:val="16"/>
                <w:szCs w:val="16"/>
                <w:color w:val="auto"/>
              </w:rPr>
              <w:t>449,423</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1,788,277</w:t>
            </w: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283,091</w:t>
            </w:r>
          </w:p>
        </w:tc>
        <w:tc>
          <w:tcPr>
            <w:tcW w:w="960" w:type="dxa"/>
            <w:vAlign w:val="bottom"/>
          </w:tcPr>
          <w:p>
            <w:pPr>
              <w:jc w:val="right"/>
              <w:spacing w:after="0"/>
              <w:rPr>
                <w:sz w:val="20"/>
                <w:szCs w:val="20"/>
                <w:color w:val="auto"/>
              </w:rPr>
            </w:pPr>
            <w:r>
              <w:rPr>
                <w:rFonts w:ascii="Arial" w:cs="Arial" w:eastAsia="Arial" w:hAnsi="Arial"/>
                <w:sz w:val="16"/>
                <w:szCs w:val="16"/>
                <w:color w:val="auto"/>
              </w:rPr>
              <w:t>271,932</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555,023</w:t>
            </w:r>
          </w:p>
        </w:tc>
        <w:tc>
          <w:tcPr>
            <w:tcW w:w="980" w:type="dxa"/>
            <w:vAlign w:val="bottom"/>
          </w:tcPr>
          <w:p>
            <w:pPr>
              <w:jc w:val="right"/>
              <w:spacing w:after="0"/>
              <w:rPr>
                <w:sz w:val="20"/>
                <w:szCs w:val="20"/>
                <w:color w:val="auto"/>
              </w:rPr>
            </w:pPr>
            <w:r>
              <w:rPr>
                <w:rFonts w:ascii="Arial" w:cs="Arial" w:eastAsia="Arial" w:hAnsi="Arial"/>
                <w:sz w:val="16"/>
                <w:szCs w:val="16"/>
                <w:color w:val="auto"/>
              </w:rPr>
              <w:t>276,179</w:t>
            </w:r>
          </w:p>
        </w:tc>
        <w:tc>
          <w:tcPr>
            <w:tcW w:w="960" w:type="dxa"/>
            <w:vAlign w:val="bottom"/>
          </w:tcPr>
          <w:p>
            <w:pPr>
              <w:jc w:val="right"/>
              <w:spacing w:after="0"/>
              <w:rPr>
                <w:sz w:val="20"/>
                <w:szCs w:val="20"/>
                <w:color w:val="auto"/>
              </w:rPr>
            </w:pPr>
            <w:r>
              <w:rPr>
                <w:rFonts w:ascii="Arial" w:cs="Arial" w:eastAsia="Arial" w:hAnsi="Arial"/>
                <w:sz w:val="16"/>
                <w:szCs w:val="16"/>
                <w:color w:val="auto"/>
              </w:rPr>
              <w:t>285,530</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1,116,732</w:t>
            </w:r>
          </w:p>
        </w:tc>
      </w:tr>
      <w:tr>
        <w:trPr>
          <w:trHeight w:val="223"/>
        </w:trPr>
        <w:tc>
          <w:tcPr>
            <w:tcW w:w="960" w:type="dxa"/>
            <w:vAlign w:val="bottom"/>
          </w:tcPr>
          <w:p>
            <w:pPr>
              <w:jc w:val="right"/>
              <w:spacing w:after="0"/>
              <w:rPr>
                <w:sz w:val="20"/>
                <w:szCs w:val="20"/>
                <w:color w:val="auto"/>
              </w:rPr>
            </w:pPr>
            <w:r>
              <w:rPr>
                <w:rFonts w:ascii="Arial" w:cs="Arial" w:eastAsia="Arial" w:hAnsi="Arial"/>
                <w:sz w:val="16"/>
                <w:szCs w:val="16"/>
                <w:color w:val="auto"/>
              </w:rPr>
              <w:t>413,881</w:t>
            </w:r>
          </w:p>
        </w:tc>
        <w:tc>
          <w:tcPr>
            <w:tcW w:w="960" w:type="dxa"/>
            <w:vAlign w:val="bottom"/>
          </w:tcPr>
          <w:p>
            <w:pPr>
              <w:jc w:val="right"/>
              <w:spacing w:after="0"/>
              <w:rPr>
                <w:sz w:val="20"/>
                <w:szCs w:val="20"/>
                <w:color w:val="auto"/>
              </w:rPr>
            </w:pPr>
            <w:r>
              <w:rPr>
                <w:rFonts w:ascii="Arial" w:cs="Arial" w:eastAsia="Arial" w:hAnsi="Arial"/>
                <w:sz w:val="16"/>
                <w:szCs w:val="16"/>
                <w:color w:val="auto"/>
              </w:rPr>
              <w:t>465,626</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879,507</w:t>
            </w:r>
          </w:p>
        </w:tc>
        <w:tc>
          <w:tcPr>
            <w:tcW w:w="980" w:type="dxa"/>
            <w:vAlign w:val="bottom"/>
          </w:tcPr>
          <w:p>
            <w:pPr>
              <w:jc w:val="right"/>
              <w:spacing w:after="0"/>
              <w:rPr>
                <w:sz w:val="20"/>
                <w:szCs w:val="20"/>
                <w:color w:val="auto"/>
              </w:rPr>
            </w:pPr>
            <w:r>
              <w:rPr>
                <w:rFonts w:ascii="Arial" w:cs="Arial" w:eastAsia="Arial" w:hAnsi="Arial"/>
                <w:sz w:val="16"/>
                <w:szCs w:val="16"/>
                <w:color w:val="auto"/>
              </w:rPr>
              <w:t>431,373</w:t>
            </w:r>
          </w:p>
        </w:tc>
        <w:tc>
          <w:tcPr>
            <w:tcW w:w="960" w:type="dxa"/>
            <w:vAlign w:val="bottom"/>
          </w:tcPr>
          <w:p>
            <w:pPr>
              <w:jc w:val="right"/>
              <w:spacing w:after="0"/>
              <w:rPr>
                <w:sz w:val="20"/>
                <w:szCs w:val="20"/>
                <w:color w:val="auto"/>
              </w:rPr>
            </w:pPr>
            <w:r>
              <w:rPr>
                <w:rFonts w:ascii="Arial" w:cs="Arial" w:eastAsia="Arial" w:hAnsi="Arial"/>
                <w:sz w:val="16"/>
                <w:szCs w:val="16"/>
                <w:color w:val="auto"/>
              </w:rPr>
              <w:t>444,811</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1,755,691</w:t>
            </w:r>
          </w:p>
        </w:tc>
      </w:tr>
      <w:tr>
        <w:trPr>
          <w:trHeight w:val="371"/>
        </w:trPr>
        <w:tc>
          <w:tcPr>
            <w:tcW w:w="960" w:type="dxa"/>
            <w:vAlign w:val="bottom"/>
          </w:tcPr>
          <w:p>
            <w:pPr>
              <w:jc w:val="right"/>
              <w:spacing w:after="0"/>
              <w:rPr>
                <w:sz w:val="20"/>
                <w:szCs w:val="20"/>
                <w:color w:val="auto"/>
              </w:rPr>
            </w:pPr>
            <w:r>
              <w:rPr>
                <w:rFonts w:ascii="Arial" w:cs="Arial" w:eastAsia="Arial" w:hAnsi="Arial"/>
                <w:sz w:val="16"/>
                <w:szCs w:val="16"/>
                <w:color w:val="auto"/>
              </w:rPr>
              <w:t>455,325</w:t>
            </w:r>
          </w:p>
        </w:tc>
        <w:tc>
          <w:tcPr>
            <w:tcW w:w="960" w:type="dxa"/>
            <w:vAlign w:val="bottom"/>
          </w:tcPr>
          <w:p>
            <w:pPr>
              <w:jc w:val="right"/>
              <w:spacing w:after="0"/>
              <w:rPr>
                <w:sz w:val="20"/>
                <w:szCs w:val="20"/>
                <w:color w:val="auto"/>
              </w:rPr>
            </w:pPr>
            <w:r>
              <w:rPr>
                <w:rFonts w:ascii="Arial" w:cs="Arial" w:eastAsia="Arial" w:hAnsi="Arial"/>
                <w:sz w:val="16"/>
                <w:szCs w:val="16"/>
                <w:color w:val="auto"/>
              </w:rPr>
              <w:t>449,001</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904,326</w:t>
            </w:r>
          </w:p>
        </w:tc>
        <w:tc>
          <w:tcPr>
            <w:tcW w:w="980" w:type="dxa"/>
            <w:vAlign w:val="bottom"/>
          </w:tcPr>
          <w:p>
            <w:pPr>
              <w:jc w:val="right"/>
              <w:spacing w:after="0"/>
              <w:rPr>
                <w:sz w:val="20"/>
                <w:szCs w:val="20"/>
                <w:color w:val="auto"/>
              </w:rPr>
            </w:pPr>
            <w:r>
              <w:rPr>
                <w:rFonts w:ascii="Arial" w:cs="Arial" w:eastAsia="Arial" w:hAnsi="Arial"/>
                <w:sz w:val="16"/>
                <w:szCs w:val="16"/>
                <w:color w:val="auto"/>
              </w:rPr>
              <w:t>475,911</w:t>
            </w:r>
          </w:p>
        </w:tc>
        <w:tc>
          <w:tcPr>
            <w:tcW w:w="960" w:type="dxa"/>
            <w:vAlign w:val="bottom"/>
          </w:tcPr>
          <w:p>
            <w:pPr>
              <w:jc w:val="right"/>
              <w:spacing w:after="0"/>
              <w:rPr>
                <w:sz w:val="20"/>
                <w:szCs w:val="20"/>
                <w:color w:val="auto"/>
              </w:rPr>
            </w:pPr>
            <w:r>
              <w:rPr>
                <w:rFonts w:ascii="Arial" w:cs="Arial" w:eastAsia="Arial" w:hAnsi="Arial"/>
                <w:sz w:val="16"/>
                <w:szCs w:val="16"/>
                <w:color w:val="auto"/>
              </w:rPr>
              <w:t>398,345</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1,778,582</w:t>
            </w:r>
          </w:p>
        </w:tc>
      </w:tr>
      <w:tr>
        <w:trPr>
          <w:trHeight w:val="217"/>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(5,735)</w:t>
            </w:r>
          </w:p>
        </w:tc>
      </w:tr>
      <w:tr>
        <w:trPr>
          <w:trHeight w:val="209"/>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$ 2,079,023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$ 2,100,086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$ 4,179,109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$ 2,153,268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$ 2,105,757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$ 8,438,134</w:t>
            </w:r>
          </w:p>
        </w:tc>
      </w:tr>
      <w:tr>
        <w:trPr>
          <w:trHeight w:val="21"/>
        </w:trPr>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-3406140</wp:posOffset>
            </wp:positionH>
            <wp:positionV relativeFrom="paragraph">
              <wp:posOffset>-693420</wp:posOffset>
            </wp:positionV>
            <wp:extent cx="710628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-316230</wp:posOffset>
            </wp:positionV>
            <wp:extent cx="710628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-16510</wp:posOffset>
            </wp:positionV>
            <wp:extent cx="7106285"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80"/>
            <w:col w:w="5820"/>
          </w:cols>
          <w:pgMar w:left="360" w:top="364" w:right="35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EARNINGS</w:t>
            </w: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60" w:type="dxa"/>
            <w:vAlign w:val="bottom"/>
            <w:gridSpan w:val="2"/>
          </w:tcPr>
          <w:p>
            <w:pPr>
              <w:spacing w:after="0"/>
              <w:rPr>
                <w:sz w:val="20"/>
                <w:szCs w:val="20"/>
                <w:color w:val="auto"/>
              </w:rPr>
            </w:pPr>
            <w:r>
              <w:rPr>
                <w:rFonts w:ascii="Arial" w:cs="Arial" w:eastAsia="Arial" w:hAnsi="Arial"/>
                <w:sz w:val="16"/>
                <w:szCs w:val="16"/>
                <w:color w:val="auto"/>
              </w:rPr>
              <w:t>Segment Earnings: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360" w:type="dxa"/>
            <w:vAlign w:val="bottom"/>
            <w:gridSpan w:val="2"/>
          </w:tcPr>
          <w:p>
            <w:pPr>
              <w:spacing w:after="0"/>
              <w:rPr>
                <w:sz w:val="20"/>
                <w:szCs w:val="20"/>
                <w:color w:val="auto"/>
              </w:rPr>
            </w:pPr>
            <w:r>
              <w:rPr>
                <w:rFonts w:ascii="Arial" w:cs="Arial" w:eastAsia="Arial" w:hAnsi="Arial"/>
                <w:sz w:val="16"/>
                <w:szCs w:val="16"/>
                <w:color w:val="auto"/>
              </w:rPr>
              <w:t>Engineered Products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103,969</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101,247</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205,216</w:t>
            </w: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6"/>
                <w:szCs w:val="16"/>
                <w:color w:val="auto"/>
              </w:rPr>
              <w:t>Clean Energy &amp; Fueling</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69,675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87,536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157,211</w:t>
            </w: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6"/>
                <w:szCs w:val="16"/>
                <w:color w:val="auto"/>
              </w:rPr>
              <w:t>Imaging &amp; Identification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69,959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75,786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145,745</w:t>
            </w: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6"/>
                <w:szCs w:val="16"/>
                <w:color w:val="auto"/>
              </w:rPr>
              <w:t>Pumps &amp; Process Solutions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118,737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137,217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255,954</w:t>
            </w:r>
          </w:p>
        </w:tc>
        <w:tc>
          <w:tcPr>
            <w:tcW w:w="0" w:type="dxa"/>
            <w:vAlign w:val="bottom"/>
          </w:tcPr>
          <w:p>
            <w:pPr>
              <w:spacing w:after="0"/>
              <w:rPr>
                <w:sz w:val="1"/>
                <w:szCs w:val="1"/>
                <w:color w:val="auto"/>
              </w:rPr>
            </w:pPr>
          </w:p>
        </w:tc>
      </w:tr>
      <w:tr>
        <w:trPr>
          <w:trHeight w:val="163"/>
        </w:trPr>
        <w:tc>
          <w:tcPr>
            <w:tcW w:w="2360" w:type="dxa"/>
            <w:vAlign w:val="bottom"/>
            <w:gridSpan w:val="2"/>
          </w:tcPr>
          <w:p>
            <w:pPr>
              <w:spacing w:after="0" w:line="163" w:lineRule="exact"/>
              <w:rPr>
                <w:sz w:val="20"/>
                <w:szCs w:val="20"/>
                <w:color w:val="auto"/>
              </w:rPr>
            </w:pPr>
            <w:r>
              <w:rPr>
                <w:rFonts w:ascii="Arial" w:cs="Arial" w:eastAsia="Arial" w:hAnsi="Arial"/>
                <w:sz w:val="16"/>
                <w:szCs w:val="16"/>
                <w:color w:val="auto"/>
              </w:rPr>
              <w:t>Climate &amp; Sustainability</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50,759</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79,127</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129,886</w:t>
            </w: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6"/>
                <w:szCs w:val="16"/>
                <w:color w:val="auto"/>
              </w:rPr>
              <w:t>Technologies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60" w:type="dxa"/>
            <w:vAlign w:val="bottom"/>
            <w:gridSpan w:val="2"/>
          </w:tcPr>
          <w:p>
            <w:pPr>
              <w:spacing w:after="0"/>
              <w:rPr>
                <w:sz w:val="20"/>
                <w:szCs w:val="20"/>
                <w:color w:val="auto"/>
              </w:rPr>
            </w:pPr>
            <w:r>
              <w:rPr>
                <w:rFonts w:ascii="Arial" w:cs="Arial" w:eastAsia="Arial" w:hAnsi="Arial"/>
                <w:sz w:val="16"/>
                <w:szCs w:val="16"/>
                <w:color w:val="auto"/>
              </w:rPr>
              <w:t>Total segment earnings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413,099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480,913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894,012</w:t>
            </w:r>
          </w:p>
        </w:tc>
        <w:tc>
          <w:tcPr>
            <w:tcW w:w="0" w:type="dxa"/>
            <w:vAlign w:val="bottom"/>
          </w:tcPr>
          <w:p>
            <w:pPr>
              <w:spacing w:after="0"/>
              <w:rPr>
                <w:sz w:val="1"/>
                <w:szCs w:val="1"/>
                <w:color w:val="auto"/>
              </w:rPr>
            </w:pPr>
          </w:p>
        </w:tc>
      </w:tr>
      <w:tr>
        <w:trPr>
          <w:trHeight w:val="163"/>
        </w:trPr>
        <w:tc>
          <w:tcPr>
            <w:tcW w:w="2360" w:type="dxa"/>
            <w:vAlign w:val="bottom"/>
            <w:gridSpan w:val="2"/>
          </w:tcPr>
          <w:p>
            <w:pPr>
              <w:spacing w:after="0" w:line="163" w:lineRule="exact"/>
              <w:rPr>
                <w:sz w:val="20"/>
                <w:szCs w:val="20"/>
                <w:color w:val="auto"/>
              </w:rPr>
            </w:pPr>
            <w:r>
              <w:rPr>
                <w:rFonts w:ascii="Arial" w:cs="Arial" w:eastAsia="Arial" w:hAnsi="Arial"/>
                <w:sz w:val="16"/>
                <w:szCs w:val="16"/>
                <w:color w:val="auto"/>
              </w:rPr>
              <w:t>Purchase accounting</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45,551</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45,697</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91,248</w:t>
            </w:r>
          </w:p>
        </w:tc>
        <w:tc>
          <w:tcPr>
            <w:tcW w:w="0" w:type="dxa"/>
            <w:vAlign w:val="bottom"/>
          </w:tcPr>
          <w:p>
            <w:pPr>
              <w:spacing w:after="0"/>
              <w:rPr>
                <w:sz w:val="1"/>
                <w:szCs w:val="1"/>
                <w:color w:val="auto"/>
              </w:rPr>
            </w:pPr>
          </w:p>
        </w:tc>
      </w:tr>
      <w:tr>
        <w:trPr>
          <w:trHeight w:val="215"/>
        </w:trPr>
        <w:tc>
          <w:tcPr>
            <w:tcW w:w="23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expenses </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Restructuring and other costs </w:t>
            </w:r>
            <w:r>
              <w:rPr>
                <w:rFonts w:ascii="Arial" w:cs="Arial" w:eastAsia="Arial" w:hAnsi="Arial"/>
                <w:sz w:val="21"/>
                <w:szCs w:val="21"/>
                <w:color w:val="auto"/>
                <w:vertAlign w:val="superscript"/>
              </w:rPr>
              <w:t>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24,684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11,590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36,274</w:t>
            </w: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Disposition costs </w:t>
            </w:r>
            <w:r>
              <w:rPr>
                <w:rFonts w:ascii="Arial" w:cs="Arial" w:eastAsia="Arial" w:hAnsi="Arial"/>
                <w:sz w:val="21"/>
                <w:szCs w:val="21"/>
                <w:color w:val="auto"/>
                <w:vertAlign w:val="superscript"/>
              </w:rPr>
              <w:t>3</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(Gain) loss on disposition </w:t>
            </w:r>
            <w:r>
              <w:rPr>
                <w:rFonts w:ascii="Arial" w:cs="Arial" w:eastAsia="Arial" w:hAnsi="Arial"/>
                <w:sz w:val="21"/>
                <w:szCs w:val="21"/>
                <w:color w:val="auto"/>
                <w:vertAlign w:val="superscript"/>
              </w:rPr>
              <w:t>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(529,943)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(529,280)</w:t>
            </w:r>
          </w:p>
        </w:tc>
        <w:tc>
          <w:tcPr>
            <w:tcW w:w="0" w:type="dxa"/>
            <w:vAlign w:val="bottom"/>
          </w:tcPr>
          <w:p>
            <w:pPr>
              <w:spacing w:after="0"/>
              <w:rPr>
                <w:sz w:val="1"/>
                <w:szCs w:val="1"/>
                <w:color w:val="auto"/>
              </w:rPr>
            </w:pPr>
          </w:p>
        </w:tc>
      </w:tr>
      <w:tr>
        <w:trPr>
          <w:trHeight w:val="163"/>
        </w:trPr>
        <w:tc>
          <w:tcPr>
            <w:tcW w:w="2360" w:type="dxa"/>
            <w:vAlign w:val="bottom"/>
            <w:gridSpan w:val="2"/>
          </w:tcPr>
          <w:p>
            <w:pPr>
              <w:spacing w:after="0" w:line="163" w:lineRule="exact"/>
              <w:rPr>
                <w:sz w:val="20"/>
                <w:szCs w:val="20"/>
                <w:color w:val="auto"/>
              </w:rPr>
            </w:pPr>
            <w:r>
              <w:rPr>
                <w:rFonts w:ascii="Arial" w:cs="Arial" w:eastAsia="Arial" w:hAnsi="Arial"/>
                <w:sz w:val="16"/>
                <w:szCs w:val="16"/>
                <w:color w:val="auto"/>
              </w:rPr>
              <w:t>Corporate expense</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42,317</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41,380</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83,697</w:t>
            </w:r>
          </w:p>
        </w:tc>
        <w:tc>
          <w:tcPr>
            <w:tcW w:w="0" w:type="dxa"/>
            <w:vAlign w:val="bottom"/>
          </w:tcPr>
          <w:p>
            <w:pPr>
              <w:spacing w:after="0"/>
              <w:rPr>
                <w:sz w:val="1"/>
                <w:szCs w:val="1"/>
                <w:color w:val="auto"/>
              </w:rPr>
            </w:pPr>
          </w:p>
        </w:tc>
      </w:tr>
      <w:tr>
        <w:trPr>
          <w:trHeight w:val="215"/>
        </w:trPr>
        <w:tc>
          <w:tcPr>
            <w:tcW w:w="2360" w:type="dxa"/>
            <w:vAlign w:val="bottom"/>
            <w:gridSpan w:val="2"/>
          </w:tcPr>
          <w:p>
            <w:pPr>
              <w:ind w:left="60"/>
              <w:spacing w:after="0" w:line="216" w:lineRule="exact"/>
              <w:rPr>
                <w:sz w:val="20"/>
                <w:szCs w:val="20"/>
                <w:color w:val="auto"/>
              </w:rPr>
            </w:pPr>
            <w:r>
              <w:rPr>
                <w:rFonts w:ascii="Arial" w:cs="Arial" w:eastAsia="Arial" w:hAnsi="Arial"/>
                <w:sz w:val="16"/>
                <w:szCs w:val="16"/>
                <w:color w:val="auto"/>
              </w:rPr>
              <w:t xml:space="preserve">/ other </w:t>
            </w:r>
            <w:r>
              <w:rPr>
                <w:rFonts w:ascii="Arial" w:cs="Arial" w:eastAsia="Arial" w:hAnsi="Arial"/>
                <w:sz w:val="21"/>
                <w:szCs w:val="21"/>
                <w:color w:val="auto"/>
                <w:vertAlign w:val="superscript"/>
              </w:rPr>
              <w:t>5</w:t>
            </w: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36,365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32,374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68,739</w:t>
            </w:r>
          </w:p>
        </w:tc>
        <w:tc>
          <w:tcPr>
            <w:tcW w:w="0" w:type="dxa"/>
            <w:vAlign w:val="bottom"/>
          </w:tcPr>
          <w:p>
            <w:pPr>
              <w:spacing w:after="0"/>
              <w:rPr>
                <w:sz w:val="1"/>
                <w:szCs w:val="1"/>
                <w:color w:val="auto"/>
              </w:rPr>
            </w:pPr>
          </w:p>
        </w:tc>
      </w:tr>
      <w:tr>
        <w:trPr>
          <w:trHeight w:val="217"/>
        </w:trPr>
        <w:tc>
          <w:tcPr>
            <w:tcW w:w="2360" w:type="dxa"/>
            <w:vAlign w:val="bottom"/>
            <w:gridSpan w:val="2"/>
          </w:tcPr>
          <w:p>
            <w:pPr>
              <w:spacing w:after="0"/>
              <w:rPr>
                <w:sz w:val="20"/>
                <w:szCs w:val="20"/>
                <w:color w:val="auto"/>
              </w:rPr>
            </w:pPr>
            <w:r>
              <w:rPr>
                <w:rFonts w:ascii="Arial" w:cs="Arial" w:eastAsia="Arial" w:hAnsi="Arial"/>
                <w:sz w:val="16"/>
                <w:szCs w:val="16"/>
                <w:color w:val="auto"/>
              </w:rPr>
              <w:t>Interest income</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(4,757)</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(4,080)</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(8,837)</w:t>
            </w:r>
          </w:p>
        </w:tc>
        <w:tc>
          <w:tcPr>
            <w:tcW w:w="0" w:type="dxa"/>
            <w:vAlign w:val="bottom"/>
          </w:tcPr>
          <w:p>
            <w:pPr>
              <w:spacing w:after="0"/>
              <w:rPr>
                <w:sz w:val="1"/>
                <w:szCs w:val="1"/>
                <w:color w:val="auto"/>
              </w:rPr>
            </w:pPr>
          </w:p>
        </w:tc>
      </w:tr>
      <w:tr>
        <w:trPr>
          <w:trHeight w:val="142"/>
        </w:trPr>
        <w:tc>
          <w:tcPr>
            <w:tcW w:w="2360" w:type="dxa"/>
            <w:vAlign w:val="bottom"/>
            <w:gridSpan w:val="2"/>
          </w:tcPr>
          <w:p>
            <w:pPr>
              <w:spacing w:after="0" w:line="142" w:lineRule="exact"/>
              <w:rPr>
                <w:sz w:val="20"/>
                <w:szCs w:val="20"/>
                <w:color w:val="auto"/>
              </w:rPr>
            </w:pPr>
            <w:r>
              <w:rPr>
                <w:rFonts w:ascii="Arial" w:cs="Arial" w:eastAsia="Arial" w:hAnsi="Arial"/>
                <w:sz w:val="16"/>
                <w:szCs w:val="16"/>
                <w:color w:val="auto"/>
              </w:rPr>
              <w:t>Earnings before provision for</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798,882</w:t>
            </w:r>
          </w:p>
        </w:tc>
        <w:tc>
          <w:tcPr>
            <w:tcW w:w="2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353,289</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1,152,171</w:t>
            </w:r>
          </w:p>
        </w:tc>
        <w:tc>
          <w:tcPr>
            <w:tcW w:w="0" w:type="dxa"/>
            <w:vAlign w:val="bottom"/>
          </w:tcPr>
          <w:p>
            <w:pPr>
              <w:spacing w:after="0"/>
              <w:rPr>
                <w:sz w:val="1"/>
                <w:szCs w:val="1"/>
                <w:color w:val="auto"/>
              </w:rPr>
            </w:pPr>
          </w:p>
        </w:tc>
      </w:tr>
      <w:tr>
        <w:trPr>
          <w:trHeight w:val="215"/>
        </w:trPr>
        <w:tc>
          <w:tcPr>
            <w:tcW w:w="2360" w:type="dxa"/>
            <w:vAlign w:val="bottom"/>
            <w:gridSpan w:val="2"/>
          </w:tcPr>
          <w:p>
            <w:pPr>
              <w:spacing w:after="0"/>
              <w:rPr>
                <w:sz w:val="20"/>
                <w:szCs w:val="20"/>
                <w:color w:val="auto"/>
              </w:rPr>
            </w:pPr>
            <w:r>
              <w:rPr>
                <w:rFonts w:ascii="Arial" w:cs="Arial" w:eastAsia="Arial" w:hAnsi="Arial"/>
                <w:sz w:val="16"/>
                <w:szCs w:val="16"/>
                <w:color w:val="auto"/>
              </w:rPr>
              <w:t>income taxes</w:t>
            </w: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60" w:type="dxa"/>
            <w:vAlign w:val="bottom"/>
            <w:gridSpan w:val="2"/>
          </w:tcPr>
          <w:p>
            <w:pPr>
              <w:spacing w:after="0" w:line="217" w:lineRule="exact"/>
              <w:rPr>
                <w:sz w:val="20"/>
                <w:szCs w:val="20"/>
                <w:color w:val="auto"/>
              </w:rPr>
            </w:pPr>
            <w:r>
              <w:rPr>
                <w:rFonts w:ascii="Arial" w:cs="Arial" w:eastAsia="Arial" w:hAnsi="Arial"/>
                <w:sz w:val="16"/>
                <w:szCs w:val="16"/>
                <w:color w:val="auto"/>
              </w:rPr>
              <w:t xml:space="preserve">Provision for income taxes </w:t>
            </w:r>
            <w:r>
              <w:rPr>
                <w:rFonts w:ascii="Arial" w:cs="Arial" w:eastAsia="Arial" w:hAnsi="Arial"/>
                <w:sz w:val="21"/>
                <w:szCs w:val="21"/>
                <w:color w:val="auto"/>
                <w:vertAlign w:val="superscript"/>
              </w:rPr>
              <w:t>6</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166,661</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71,467</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238,128</w:t>
            </w:r>
          </w:p>
        </w:tc>
        <w:tc>
          <w:tcPr>
            <w:tcW w:w="0" w:type="dxa"/>
            <w:vAlign w:val="bottom"/>
          </w:tcPr>
          <w:p>
            <w:pPr>
              <w:spacing w:after="0"/>
              <w:rPr>
                <w:sz w:val="1"/>
                <w:szCs w:val="1"/>
                <w:color w:val="auto"/>
              </w:rPr>
            </w:pPr>
          </w:p>
        </w:tc>
      </w:tr>
      <w:tr>
        <w:trPr>
          <w:trHeight w:val="210"/>
        </w:trPr>
        <w:tc>
          <w:tcPr>
            <w:tcW w:w="2360" w:type="dxa"/>
            <w:vAlign w:val="bottom"/>
            <w:gridSpan w:val="2"/>
          </w:tcPr>
          <w:p>
            <w:pPr>
              <w:spacing w:after="0"/>
              <w:rPr>
                <w:sz w:val="20"/>
                <w:szCs w:val="20"/>
                <w:color w:val="auto"/>
              </w:rPr>
            </w:pPr>
            <w:r>
              <w:rPr>
                <w:rFonts w:ascii="Arial" w:cs="Arial" w:eastAsia="Arial" w:hAnsi="Arial"/>
                <w:sz w:val="16"/>
                <w:szCs w:val="16"/>
                <w:color w:val="auto"/>
              </w:rPr>
              <w:t>Net earnings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632,221</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914,043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84,275</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73,076</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157,351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101,610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118,464</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377,425</w:t>
            </w:r>
          </w:p>
        </w:tc>
      </w:tr>
      <w:tr>
        <w:trPr>
          <w:trHeight w:val="216"/>
        </w:trPr>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73,605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83,616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157,221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92,483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78,900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328,604</w:t>
            </w:r>
          </w:p>
        </w:tc>
      </w:tr>
      <w:tr>
        <w:trPr>
          <w:trHeight w:val="216"/>
        </w:trPr>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68,315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61,336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129,651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70,316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72,545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272,512</w:t>
            </w:r>
          </w:p>
        </w:tc>
      </w:tr>
      <w:tr>
        <w:trPr>
          <w:trHeight w:val="223"/>
        </w:trPr>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115,244</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129,337</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244,581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117,907</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121,917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484,405</w:t>
            </w:r>
          </w:p>
        </w:tc>
      </w:tr>
      <w:tr>
        <w:trPr>
          <w:trHeight w:val="372"/>
        </w:trPr>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73,778</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76,074</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149,852</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84,060</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71,468</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305,380</w:t>
            </w:r>
          </w:p>
        </w:tc>
      </w:tr>
      <w:tr>
        <w:trPr>
          <w:trHeight w:val="216"/>
        </w:trPr>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415,217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423,439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838,656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466,376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463,294</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1,768,326</w:t>
            </w:r>
          </w:p>
        </w:tc>
      </w:tr>
      <w:tr>
        <w:trPr>
          <w:trHeight w:val="371"/>
        </w:trPr>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42,679</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40,200</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82,879</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40,320</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41,744</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164,943</w:t>
            </w:r>
          </w:p>
        </w:tc>
      </w:tr>
      <w:tr>
        <w:trPr>
          <w:trHeight w:val="216"/>
        </w:trPr>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14,053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18,143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32,196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12,327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19,150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63,673</w:t>
            </w:r>
          </w:p>
        </w:tc>
      </w:tr>
      <w:tr>
        <w:trPr>
          <w:trHeight w:val="216"/>
        </w:trPr>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1,302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1,302</w:t>
            </w:r>
          </w:p>
        </w:tc>
      </w:tr>
      <w:tr>
        <w:trPr>
          <w:trHeight w:val="223"/>
        </w:trPr>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371"/>
        </w:trPr>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40,072</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33,922</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73,994</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30,686</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45,913</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150,593</w:t>
            </w:r>
          </w:p>
        </w:tc>
      </w:tr>
      <w:tr>
        <w:trPr>
          <w:trHeight w:val="216"/>
        </w:trPr>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34,214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33,804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68,018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32,389</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30,898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131,305</w:t>
            </w:r>
          </w:p>
        </w:tc>
      </w:tr>
      <w:tr>
        <w:trPr>
          <w:trHeight w:val="217"/>
        </w:trPr>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(2,091)</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(2,653)</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(4,744)</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(3,808)</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(4,944)</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(13,496)</w:t>
            </w:r>
          </w:p>
        </w:tc>
      </w:tr>
      <w:tr>
        <w:trPr>
          <w:trHeight w:val="357"/>
        </w:trPr>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286,290</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300,023</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586,313</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354,462</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329,231</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1,270,006</w:t>
            </w:r>
          </w:p>
        </w:tc>
      </w:tr>
      <w:tr>
        <w:trPr>
          <w:trHeight w:val="217"/>
        </w:trPr>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57,716</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57,784</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115,500</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64,709</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32,969</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213,178</w:t>
            </w:r>
          </w:p>
        </w:tc>
      </w:tr>
      <w:tr>
        <w:trPr>
          <w:trHeight w:val="210"/>
        </w:trPr>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228,574</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242,239</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470,813</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289,753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296,262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1,056,828</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-3406140</wp:posOffset>
            </wp:positionH>
            <wp:positionV relativeFrom="paragraph">
              <wp:posOffset>-2794000</wp:posOffset>
            </wp:positionV>
            <wp:extent cx="710628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-2519680</wp:posOffset>
            </wp:positionV>
            <wp:extent cx="710628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-2245360</wp:posOffset>
            </wp:positionV>
            <wp:extent cx="710628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-1868170</wp:posOffset>
            </wp:positionV>
            <wp:extent cx="710628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-1482090</wp:posOffset>
            </wp:positionV>
            <wp:extent cx="710628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-1208405</wp:posOffset>
            </wp:positionV>
            <wp:extent cx="710628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-831215</wp:posOffset>
            </wp:positionV>
            <wp:extent cx="710628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-556895</wp:posOffset>
            </wp:positionV>
            <wp:extent cx="7106285"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-179705</wp:posOffset>
            </wp:positionV>
            <wp:extent cx="710628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5280" w:space="80"/>
            <w:col w:w="5820"/>
          </w:cols>
          <w:pgMar w:left="360" w:top="364" w:right="35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2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SEGMENT EARNINGS MARGIN</w:t>
            </w: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Engineered Products</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ind w:right="159"/>
              <w:spacing w:after="0"/>
              <w:rPr>
                <w:sz w:val="20"/>
                <w:szCs w:val="20"/>
                <w:color w:val="auto"/>
              </w:rPr>
            </w:pPr>
            <w:r>
              <w:rPr>
                <w:rFonts w:ascii="Arial" w:cs="Arial" w:eastAsia="Arial" w:hAnsi="Arial"/>
                <w:sz w:val="16"/>
                <w:szCs w:val="16"/>
                <w:color w:val="auto"/>
              </w:rPr>
              <w:t>19.1 %</w:t>
            </w:r>
          </w:p>
        </w:tc>
        <w:tc>
          <w:tcPr>
            <w:tcW w:w="980" w:type="dxa"/>
            <w:vAlign w:val="bottom"/>
            <w:tcBorders>
              <w:top w:val="single" w:sz="8" w:color="CCEEFF"/>
            </w:tcBorders>
          </w:tcPr>
          <w:p>
            <w:pPr>
              <w:jc w:val="right"/>
              <w:ind w:right="159"/>
              <w:spacing w:after="0"/>
              <w:rPr>
                <w:sz w:val="20"/>
                <w:szCs w:val="20"/>
                <w:color w:val="auto"/>
              </w:rPr>
            </w:pPr>
            <w:r>
              <w:rPr>
                <w:rFonts w:ascii="Arial" w:cs="Arial" w:eastAsia="Arial" w:hAnsi="Arial"/>
                <w:sz w:val="16"/>
                <w:szCs w:val="16"/>
                <w:color w:val="auto"/>
              </w:rPr>
              <w:t>19.7 %</w:t>
            </w:r>
          </w:p>
        </w:tc>
        <w:tc>
          <w:tcPr>
            <w:tcW w:w="1000" w:type="dxa"/>
            <w:vAlign w:val="bottom"/>
            <w:tcBorders>
              <w:top w:val="single" w:sz="8" w:color="CCEEFF"/>
            </w:tcBorders>
          </w:tcPr>
          <w:p>
            <w:pPr>
              <w:jc w:val="right"/>
              <w:ind w:right="199"/>
              <w:spacing w:after="0"/>
              <w:rPr>
                <w:sz w:val="20"/>
                <w:szCs w:val="20"/>
                <w:color w:val="auto"/>
              </w:rPr>
            </w:pPr>
            <w:r>
              <w:rPr>
                <w:rFonts w:ascii="Arial" w:cs="Arial" w:eastAsia="Arial" w:hAnsi="Arial"/>
                <w:sz w:val="16"/>
                <w:szCs w:val="16"/>
                <w:b w:val="1"/>
                <w:bCs w:val="1"/>
                <w:color w:val="auto"/>
              </w:rPr>
              <w:t>19.4 %</w:t>
            </w:r>
          </w:p>
        </w:tc>
        <w:tc>
          <w:tcPr>
            <w:tcW w:w="1020" w:type="dxa"/>
            <w:vAlign w:val="bottom"/>
            <w:tcBorders>
              <w:top w:val="single" w:sz="8" w:color="CCEEFF"/>
            </w:tcBorders>
          </w:tcPr>
          <w:p>
            <w:pPr>
              <w:jc w:val="right"/>
              <w:ind w:right="159"/>
              <w:spacing w:after="0"/>
              <w:rPr>
                <w:sz w:val="20"/>
                <w:szCs w:val="20"/>
                <w:color w:val="auto"/>
              </w:rPr>
            </w:pPr>
            <w:r>
              <w:rPr>
                <w:rFonts w:ascii="Arial" w:cs="Arial" w:eastAsia="Arial" w:hAnsi="Arial"/>
                <w:sz w:val="16"/>
                <w:szCs w:val="16"/>
                <w:color w:val="auto"/>
              </w:rPr>
              <w:t>16.9 %</w:t>
            </w:r>
          </w:p>
        </w:tc>
        <w:tc>
          <w:tcPr>
            <w:tcW w:w="960" w:type="dxa"/>
            <w:vAlign w:val="bottom"/>
            <w:tcBorders>
              <w:top w:val="single" w:sz="8" w:color="CCEEFF"/>
            </w:tcBorders>
          </w:tcPr>
          <w:p>
            <w:pPr>
              <w:jc w:val="right"/>
              <w:ind w:right="139"/>
              <w:spacing w:after="0"/>
              <w:rPr>
                <w:sz w:val="20"/>
                <w:szCs w:val="20"/>
                <w:color w:val="auto"/>
              </w:rPr>
            </w:pPr>
            <w:r>
              <w:rPr>
                <w:rFonts w:ascii="Arial" w:cs="Arial" w:eastAsia="Arial" w:hAnsi="Arial"/>
                <w:sz w:val="16"/>
                <w:szCs w:val="16"/>
                <w:color w:val="auto"/>
              </w:rPr>
              <w:t>15.4 %</w:t>
            </w:r>
          </w:p>
        </w:tc>
        <w:tc>
          <w:tcPr>
            <w:tcW w:w="980" w:type="dxa"/>
            <w:vAlign w:val="bottom"/>
            <w:tcBorders>
              <w:top w:val="single" w:sz="8" w:color="CCEEFF"/>
            </w:tcBorders>
          </w:tcPr>
          <w:p>
            <w:pPr>
              <w:jc w:val="right"/>
              <w:ind w:right="159"/>
              <w:spacing w:after="0"/>
              <w:rPr>
                <w:sz w:val="20"/>
                <w:szCs w:val="20"/>
                <w:color w:val="auto"/>
              </w:rPr>
            </w:pPr>
            <w:r>
              <w:rPr>
                <w:rFonts w:ascii="Arial" w:cs="Arial" w:eastAsia="Arial" w:hAnsi="Arial"/>
                <w:sz w:val="16"/>
                <w:szCs w:val="16"/>
                <w:b w:val="1"/>
                <w:bCs w:val="1"/>
                <w:color w:val="auto"/>
              </w:rPr>
              <w:t>16.2 %</w:t>
            </w:r>
          </w:p>
        </w:tc>
        <w:tc>
          <w:tcPr>
            <w:tcW w:w="980" w:type="dxa"/>
            <w:vAlign w:val="bottom"/>
            <w:tcBorders>
              <w:top w:val="single" w:sz="8" w:color="CCEEFF"/>
            </w:tcBorders>
          </w:tcPr>
          <w:p>
            <w:pPr>
              <w:jc w:val="right"/>
              <w:ind w:right="159"/>
              <w:spacing w:after="0"/>
              <w:rPr>
                <w:sz w:val="20"/>
                <w:szCs w:val="20"/>
                <w:color w:val="auto"/>
              </w:rPr>
            </w:pPr>
            <w:r>
              <w:rPr>
                <w:rFonts w:ascii="Arial" w:cs="Arial" w:eastAsia="Arial" w:hAnsi="Arial"/>
                <w:sz w:val="16"/>
                <w:szCs w:val="16"/>
                <w:color w:val="auto"/>
              </w:rPr>
              <w:t>20.1 %</w:t>
            </w:r>
          </w:p>
        </w:tc>
        <w:tc>
          <w:tcPr>
            <w:tcW w:w="960" w:type="dxa"/>
            <w:vAlign w:val="bottom"/>
            <w:tcBorders>
              <w:top w:val="single" w:sz="8" w:color="CCEEFF"/>
            </w:tcBorders>
          </w:tcPr>
          <w:p>
            <w:pPr>
              <w:jc w:val="right"/>
              <w:ind w:right="159"/>
              <w:spacing w:after="0"/>
              <w:rPr>
                <w:sz w:val="20"/>
                <w:szCs w:val="20"/>
                <w:color w:val="auto"/>
              </w:rPr>
            </w:pPr>
            <w:r>
              <w:rPr>
                <w:rFonts w:ascii="Arial" w:cs="Arial" w:eastAsia="Arial" w:hAnsi="Arial"/>
                <w:sz w:val="16"/>
                <w:szCs w:val="16"/>
                <w:color w:val="auto"/>
              </w:rPr>
              <w:t>22.4 %</w:t>
            </w: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18.8 %</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Clean Energy &amp; Fueling</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15.7 %</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18.9 %</w:t>
            </w: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17.3 %</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17.1 %</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19.0 %</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18.0 %</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19.8 %</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17.6 %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18.4 %</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6"/>
                <w:szCs w:val="16"/>
                <w:color w:val="auto"/>
              </w:rPr>
              <w:t>Imaging &amp; Identification</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25.3 %</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26.4 %</w:t>
            </w:r>
          </w:p>
        </w:tc>
        <w:tc>
          <w:tcPr>
            <w:tcW w:w="1000" w:type="dxa"/>
            <w:vAlign w:val="bottom"/>
          </w:tcPr>
          <w:p>
            <w:pPr>
              <w:jc w:val="right"/>
              <w:ind w:right="199"/>
              <w:spacing w:after="0"/>
              <w:rPr>
                <w:sz w:val="20"/>
                <w:szCs w:val="20"/>
                <w:color w:val="auto"/>
              </w:rPr>
            </w:pPr>
            <w:r>
              <w:rPr>
                <w:rFonts w:ascii="Arial" w:cs="Arial" w:eastAsia="Arial" w:hAnsi="Arial"/>
                <w:sz w:val="16"/>
                <w:szCs w:val="16"/>
                <w:b w:val="1"/>
                <w:bCs w:val="1"/>
                <w:color w:val="auto"/>
              </w:rPr>
              <w:t>25.8 %</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24.1 %</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22.6 %</w:t>
            </w: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23.4 %</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25.5 %</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25.4 %</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24.4 %</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Pumps &amp; Process Solutions</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25.5 %</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28.8 %</w:t>
            </w: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27.1 %</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27.8 %</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27.8 %</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27.8 %</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27.3 %</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27.4 %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27.6 %</w:t>
            </w:r>
          </w:p>
        </w:tc>
        <w:tc>
          <w:tcPr>
            <w:tcW w:w="0" w:type="dxa"/>
            <w:vAlign w:val="bottom"/>
          </w:tcPr>
          <w:p>
            <w:pPr>
              <w:spacing w:after="0"/>
              <w:rPr>
                <w:sz w:val="1"/>
                <w:szCs w:val="1"/>
                <w:color w:val="auto"/>
              </w:rPr>
            </w:pPr>
          </w:p>
        </w:tc>
      </w:tr>
      <w:tr>
        <w:trPr>
          <w:trHeight w:val="162"/>
        </w:trPr>
        <w:tc>
          <w:tcPr>
            <w:tcW w:w="2600" w:type="dxa"/>
            <w:vAlign w:val="bottom"/>
            <w:gridSpan w:val="2"/>
          </w:tcPr>
          <w:p>
            <w:pPr>
              <w:spacing w:after="0" w:line="162" w:lineRule="exact"/>
              <w:rPr>
                <w:sz w:val="20"/>
                <w:szCs w:val="20"/>
                <w:color w:val="auto"/>
              </w:rPr>
            </w:pPr>
            <w:r>
              <w:rPr>
                <w:rFonts w:ascii="Arial" w:cs="Arial" w:eastAsia="Arial" w:hAnsi="Arial"/>
                <w:sz w:val="16"/>
                <w:szCs w:val="16"/>
                <w:color w:val="auto"/>
              </w:rPr>
              <w:t>Climate &amp; Sustainability</w:t>
            </w:r>
          </w:p>
        </w:tc>
        <w:tc>
          <w:tcPr>
            <w:tcW w:w="940" w:type="dxa"/>
            <w:vAlign w:val="bottom"/>
            <w:vMerge w:val="restart"/>
          </w:tcPr>
          <w:p>
            <w:pPr>
              <w:jc w:val="right"/>
              <w:ind w:right="159"/>
              <w:spacing w:after="0"/>
              <w:rPr>
                <w:sz w:val="20"/>
                <w:szCs w:val="20"/>
                <w:color w:val="auto"/>
              </w:rPr>
            </w:pPr>
            <w:r>
              <w:rPr>
                <w:rFonts w:ascii="Arial" w:cs="Arial" w:eastAsia="Arial" w:hAnsi="Arial"/>
                <w:sz w:val="16"/>
                <w:szCs w:val="16"/>
                <w:color w:val="auto"/>
              </w:rPr>
              <w:t>13.9 %</w:t>
            </w:r>
          </w:p>
        </w:tc>
        <w:tc>
          <w:tcPr>
            <w:tcW w:w="980" w:type="dxa"/>
            <w:vAlign w:val="bottom"/>
            <w:vMerge w:val="restart"/>
          </w:tcPr>
          <w:p>
            <w:pPr>
              <w:jc w:val="right"/>
              <w:ind w:right="159"/>
              <w:spacing w:after="0"/>
              <w:rPr>
                <w:sz w:val="20"/>
                <w:szCs w:val="20"/>
                <w:color w:val="auto"/>
              </w:rPr>
            </w:pPr>
            <w:r>
              <w:rPr>
                <w:rFonts w:ascii="Arial" w:cs="Arial" w:eastAsia="Arial" w:hAnsi="Arial"/>
                <w:sz w:val="16"/>
                <w:szCs w:val="16"/>
                <w:color w:val="auto"/>
              </w:rPr>
              <w:t>18.1 %</w:t>
            </w:r>
          </w:p>
        </w:tc>
        <w:tc>
          <w:tcPr>
            <w:tcW w:w="10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16.2 %</w:t>
            </w:r>
          </w:p>
        </w:tc>
        <w:tc>
          <w:tcPr>
            <w:tcW w:w="1020" w:type="dxa"/>
            <w:vAlign w:val="bottom"/>
            <w:vMerge w:val="restart"/>
          </w:tcPr>
          <w:p>
            <w:pPr>
              <w:jc w:val="right"/>
              <w:ind w:right="159"/>
              <w:spacing w:after="0"/>
              <w:rPr>
                <w:sz w:val="20"/>
                <w:szCs w:val="20"/>
                <w:color w:val="auto"/>
              </w:rPr>
            </w:pPr>
            <w:r>
              <w:rPr>
                <w:rFonts w:ascii="Arial" w:cs="Arial" w:eastAsia="Arial" w:hAnsi="Arial"/>
                <w:sz w:val="16"/>
                <w:szCs w:val="16"/>
                <w:color w:val="auto"/>
              </w:rPr>
              <w:t>16.2 %</w:t>
            </w:r>
          </w:p>
        </w:tc>
        <w:tc>
          <w:tcPr>
            <w:tcW w:w="960" w:type="dxa"/>
            <w:vAlign w:val="bottom"/>
            <w:vMerge w:val="restart"/>
          </w:tcPr>
          <w:p>
            <w:pPr>
              <w:jc w:val="right"/>
              <w:ind w:right="139"/>
              <w:spacing w:after="0"/>
              <w:rPr>
                <w:sz w:val="20"/>
                <w:szCs w:val="20"/>
                <w:color w:val="auto"/>
              </w:rPr>
            </w:pPr>
            <w:r>
              <w:rPr>
                <w:rFonts w:ascii="Arial" w:cs="Arial" w:eastAsia="Arial" w:hAnsi="Arial"/>
                <w:sz w:val="16"/>
                <w:szCs w:val="16"/>
                <w:color w:val="auto"/>
              </w:rPr>
              <w:t>16.9 %</w:t>
            </w:r>
          </w:p>
        </w:tc>
        <w:tc>
          <w:tcPr>
            <w:tcW w:w="9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16.6 %</w:t>
            </w:r>
          </w:p>
        </w:tc>
        <w:tc>
          <w:tcPr>
            <w:tcW w:w="980" w:type="dxa"/>
            <w:vAlign w:val="bottom"/>
            <w:vMerge w:val="restart"/>
          </w:tcPr>
          <w:p>
            <w:pPr>
              <w:jc w:val="right"/>
              <w:ind w:right="159"/>
              <w:spacing w:after="0"/>
              <w:rPr>
                <w:sz w:val="20"/>
                <w:szCs w:val="20"/>
                <w:color w:val="auto"/>
              </w:rPr>
            </w:pPr>
            <w:r>
              <w:rPr>
                <w:rFonts w:ascii="Arial" w:cs="Arial" w:eastAsia="Arial" w:hAnsi="Arial"/>
                <w:sz w:val="16"/>
                <w:szCs w:val="16"/>
                <w:color w:val="auto"/>
              </w:rPr>
              <w:t>17.7 %</w:t>
            </w:r>
          </w:p>
        </w:tc>
        <w:tc>
          <w:tcPr>
            <w:tcW w:w="960" w:type="dxa"/>
            <w:vAlign w:val="bottom"/>
            <w:vMerge w:val="restart"/>
          </w:tcPr>
          <w:p>
            <w:pPr>
              <w:jc w:val="right"/>
              <w:ind w:right="159"/>
              <w:spacing w:after="0"/>
              <w:rPr>
                <w:sz w:val="20"/>
                <w:szCs w:val="20"/>
                <w:color w:val="auto"/>
              </w:rPr>
            </w:pPr>
            <w:r>
              <w:rPr>
                <w:rFonts w:ascii="Arial" w:cs="Arial" w:eastAsia="Arial" w:hAnsi="Arial"/>
                <w:sz w:val="16"/>
                <w:szCs w:val="16"/>
                <w:color w:val="auto"/>
              </w:rPr>
              <w:t>17.9 %</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17.2 %</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6"/>
                <w:szCs w:val="16"/>
                <w:color w:val="auto"/>
              </w:rPr>
              <w:t>Technologies</w:t>
            </w:r>
          </w:p>
        </w:tc>
        <w:tc>
          <w:tcPr>
            <w:tcW w:w="9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segment earnings margin</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19.7 %</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22.1 %</w:t>
            </w: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20.9 %</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20.0 %</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20.2 %</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20.1 %</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21.7 %</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22.0 %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21.0 %</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00" w:hanging="94"/>
        <w:spacing w:after="0"/>
        <w:tabs>
          <w:tab w:leader="none" w:pos="10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Purchase accounting expenses are primarily comprised of amortization of acquired intangible assets.</w:t>
      </w:r>
    </w:p>
    <w:p>
      <w:pPr>
        <w:spacing w:after="0" w:line="42" w:lineRule="exact"/>
        <w:rPr>
          <w:sz w:val="20"/>
          <w:szCs w:val="20"/>
          <w:color w:val="auto"/>
        </w:rPr>
      </w:pPr>
    </w:p>
    <w:p>
      <w:pPr>
        <w:ind w:right="40" w:firstLine="6"/>
        <w:spacing w:after="0" w:line="212" w:lineRule="auto"/>
        <w:tabs>
          <w:tab w:leader="none" w:pos="107"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Restructuring and other costs relate to actions taken for headcount reductions, facility consolidations and site closures, product line exits, and other asset charges.</w:t>
      </w:r>
    </w:p>
    <w:p>
      <w:pPr>
        <w:spacing w:after="0" w:line="16" w:lineRule="exact"/>
        <w:rPr>
          <w:sz w:val="20"/>
          <w:szCs w:val="20"/>
          <w:color w:val="auto"/>
        </w:rPr>
      </w:pPr>
    </w:p>
    <w:p>
      <w:pPr>
        <w:ind w:left="100" w:hanging="94"/>
        <w:spacing w:after="0"/>
        <w:tabs>
          <w:tab w:leader="none" w:pos="10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Q4 and FY 2023 disposition costs relate to the sale of De-Sta-Co.</w:t>
      </w:r>
    </w:p>
    <w:p>
      <w:pPr>
        <w:spacing w:after="0" w:line="69" w:lineRule="exact"/>
        <w:rPr>
          <w:sz w:val="20"/>
          <w:szCs w:val="20"/>
          <w:color w:val="auto"/>
        </w:rPr>
      </w:pPr>
    </w:p>
    <w:p>
      <w:pPr>
        <w:ind w:left="100" w:hanging="94"/>
        <w:spacing w:after="0"/>
        <w:tabs>
          <w:tab w:leader="none" w:pos="10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(Gain) loss on disposition due to the sale of De-Sta-Co in the Engineered Products segment.</w:t>
      </w:r>
    </w:p>
    <w:p>
      <w:pPr>
        <w:spacing w:after="0" w:line="15" w:lineRule="exact"/>
        <w:rPr>
          <w:sz w:val="20"/>
          <w:szCs w:val="20"/>
          <w:color w:val="auto"/>
        </w:rPr>
      </w:pPr>
    </w:p>
    <w:p>
      <w:pPr>
        <w:jc w:val="both"/>
        <w:ind w:right="20" w:firstLine="6"/>
        <w:spacing w:after="0" w:line="206" w:lineRule="auto"/>
        <w:tabs>
          <w:tab w:leader="none" w:pos="1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Certain expenses are maintained at the corporate level and not allocated to the segments. These expenses include executive and functional compensation costs, non-service pension costs, non-operating insurance expenses, shared business services and digital overhead costs, deal-related expenses and various administrative expenses relating to the corporate headquarters.</w:t>
      </w:r>
    </w:p>
    <w:p>
      <w:pPr>
        <w:ind w:left="100" w:hanging="94"/>
        <w:spacing w:after="0" w:line="216" w:lineRule="auto"/>
        <w:tabs>
          <w:tab w:leader="none" w:pos="10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Q4 and FY 2023 include the net income tax benefit of internal reorganizations executed in 2023.</w:t>
      </w:r>
    </w:p>
    <w:p>
      <w:pPr>
        <w:spacing w:after="0" w:line="267" w:lineRule="exact"/>
        <w:rPr>
          <w:rFonts w:ascii="Arial" w:cs="Arial" w:eastAsia="Arial" w:hAnsi="Arial"/>
          <w:sz w:val="21"/>
          <w:szCs w:val="21"/>
          <w:color w:val="auto"/>
          <w:vertAlign w:val="superscript"/>
        </w:rPr>
      </w:pPr>
    </w:p>
    <w:p>
      <w:pPr>
        <w:ind w:left="5360"/>
        <w:spacing w:after="0"/>
        <w:rPr>
          <w:rFonts w:ascii="Arial" w:cs="Arial" w:eastAsia="Arial" w:hAnsi="Arial"/>
          <w:sz w:val="21"/>
          <w:szCs w:val="21"/>
          <w:color w:val="auto"/>
          <w:vertAlign w:val="superscript"/>
        </w:rPr>
      </w:pPr>
      <w:r>
        <w:rPr>
          <w:rFonts w:ascii="Arial" w:cs="Arial" w:eastAsia="Arial" w:hAnsi="Arial"/>
          <w:sz w:val="18"/>
          <w:szCs w:val="18"/>
          <w:color w:val="auto"/>
        </w:rPr>
        <w:t>IS - 2</w:t>
      </w:r>
    </w:p>
    <w:p>
      <w:pPr>
        <w:sectPr>
          <w:pgSz w:w="11900" w:h="16838" w:orient="portrait"/>
          <w:cols w:equalWidth="0" w:num="1">
            <w:col w:w="11180"/>
          </w:cols>
          <w:pgMar w:left="360" w:top="364" w:right="35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(unaudited)(in thousands, except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00" w:type="dxa"/>
            <w:vAlign w:val="bottom"/>
            <w:gridSpan w:val="3"/>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2023</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vMerge w:val="continue"/>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Q1</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Q2</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Q2 YTD</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Q1</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Q2</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Q2 YTD</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Q3</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Q4</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FY 2023</w:t>
            </w:r>
          </w:p>
        </w:tc>
        <w:tc>
          <w:tcPr>
            <w:tcW w:w="0" w:type="dxa"/>
            <w:vAlign w:val="bottom"/>
          </w:tcPr>
          <w:p>
            <w:pPr>
              <w:spacing w:after="0"/>
              <w:rPr>
                <w:sz w:val="1"/>
                <w:szCs w:val="1"/>
                <w:color w:val="auto"/>
              </w:rPr>
            </w:pPr>
          </w:p>
        </w:tc>
      </w:tr>
      <w:tr>
        <w:trPr>
          <w:trHeight w:val="196"/>
        </w:trPr>
        <w:tc>
          <w:tcPr>
            <w:tcW w:w="21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per share:</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3"/>
          </w:tcPr>
          <w:p>
            <w:pPr>
              <w:ind w:left="2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4.55</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2.05</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6.61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1.73</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3.37</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2.07</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7.56</w:t>
            </w:r>
          </w:p>
        </w:tc>
        <w:tc>
          <w:tcPr>
            <w:tcW w:w="0" w:type="dxa"/>
            <w:vAlign w:val="bottom"/>
          </w:tcPr>
          <w:p>
            <w:pPr>
              <w:spacing w:after="0"/>
              <w:rPr>
                <w:sz w:val="1"/>
                <w:szCs w:val="1"/>
                <w:color w:val="auto"/>
              </w:rPr>
            </w:pPr>
          </w:p>
        </w:tc>
      </w:tr>
      <w:tr>
        <w:trPr>
          <w:trHeight w:val="216"/>
        </w:trPr>
        <w:tc>
          <w:tcPr>
            <w:tcW w:w="2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3.35</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580" w:type="dxa"/>
            <w:vAlign w:val="bottom"/>
            <w:gridSpan w:val="7"/>
          </w:tcPr>
          <w:p>
            <w:pPr>
              <w:spacing w:after="0"/>
              <w:rPr>
                <w:sz w:val="23"/>
                <w:szCs w:val="23"/>
                <w:color w:val="auto"/>
              </w:rPr>
            </w:pPr>
          </w:p>
        </w:tc>
        <w:tc>
          <w:tcPr>
            <w:tcW w:w="3080" w:type="dxa"/>
            <w:vAlign w:val="bottom"/>
            <w:gridSpan w:val="7"/>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180" w:type="dxa"/>
            <w:vAlign w:val="bottom"/>
            <w:gridSpan w:val="16"/>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and weighted average shares used in calculated earnings per share amounts are as follows:</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3"/>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632,221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281,822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914,043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228,574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242,239</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470,813</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289,753</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296,262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1,056,828</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560" w:type="dxa"/>
            <w:vAlign w:val="bottom"/>
            <w:gridSpan w:val="3"/>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080" w:type="dxa"/>
            <w:vAlign w:val="bottom"/>
            <w:gridSpan w:val="5"/>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139,051</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137,443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138,247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139,757</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139,862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139,810</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139,878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139,893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139,848</w:t>
            </w:r>
          </w:p>
        </w:tc>
        <w:tc>
          <w:tcPr>
            <w:tcW w:w="0" w:type="dxa"/>
            <w:vAlign w:val="bottom"/>
          </w:tcPr>
          <w:p>
            <w:pPr>
              <w:spacing w:after="0"/>
              <w:rPr>
                <w:sz w:val="1"/>
                <w:szCs w:val="1"/>
                <w:color w:val="auto"/>
              </w:rPr>
            </w:pPr>
          </w:p>
        </w:tc>
      </w:tr>
      <w:tr>
        <w:trPr>
          <w:trHeight w:val="223"/>
        </w:trPr>
        <w:tc>
          <w:tcPr>
            <w:tcW w:w="2100" w:type="dxa"/>
            <w:vAlign w:val="bottom"/>
            <w:gridSpan w:val="3"/>
          </w:tcPr>
          <w:p>
            <w:pPr>
              <w:ind w:left="2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139,869</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138,404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139,136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140,616</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140,578</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140,597</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140,615</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140,586</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140,599</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Per share data may be impacted by rounding.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 - 3</w:t>
      </w:r>
    </w:p>
    <w:p>
      <w:pPr>
        <w:sectPr>
          <w:pgSz w:w="11900" w:h="16838" w:orient="portrait"/>
          <w:cols w:equalWidth="0" w:num="1">
            <w:col w:w="11200"/>
          </w:cols>
          <w:pgMar w:left="340" w:top="364"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ADJUSTED EARNINGS AND ADJUSTED EARNINGS PER SHARE (NON-GAAP)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(unaudited)(in thousands, except per share data*)</w:t>
      </w:r>
    </w:p>
    <w:p>
      <w:pPr>
        <w:sectPr>
          <w:pgSz w:w="11900" w:h="16838" w:orient="portrait"/>
          <w:cols w:equalWidth="0" w:num="1">
            <w:col w:w="11240"/>
          </w:cols>
          <w:pgMar w:left="320" w:top="364" w:right="339" w:bottom="1440" w:gutter="0" w:footer="0" w:header="0"/>
        </w:sect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Non-GAAP Reconciliations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80" w:type="dxa"/>
            <w:vAlign w:val="bottom"/>
            <w:tcBorders>
              <w:top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6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Adjusted net earnings:</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Q1</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Q2</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Q2 YTD</w:t>
            </w:r>
          </w:p>
        </w:tc>
        <w:tc>
          <w:tcPr>
            <w:tcW w:w="0" w:type="dxa"/>
            <w:vAlign w:val="bottom"/>
          </w:tcPr>
          <w:p>
            <w:pPr>
              <w:spacing w:after="0"/>
              <w:rPr>
                <w:sz w:val="1"/>
                <w:szCs w:val="1"/>
                <w:color w:val="auto"/>
              </w:rPr>
            </w:pPr>
          </w:p>
        </w:tc>
      </w:tr>
      <w:tr>
        <w:trPr>
          <w:trHeight w:val="195"/>
        </w:trPr>
        <w:tc>
          <w:tcPr>
            <w:tcW w:w="2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Net earnings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632,221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281,822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914,043</w:t>
            </w:r>
          </w:p>
        </w:tc>
        <w:tc>
          <w:tcPr>
            <w:tcW w:w="0" w:type="dxa"/>
            <w:vAlign w:val="bottom"/>
          </w:tcPr>
          <w:p>
            <w:pPr>
              <w:spacing w:after="0"/>
              <w:rPr>
                <w:sz w:val="1"/>
                <w:szCs w:val="1"/>
                <w:color w:val="auto"/>
              </w:rPr>
            </w:pPr>
          </w:p>
        </w:tc>
      </w:tr>
      <w:tr>
        <w:trPr>
          <w:trHeight w:val="163"/>
        </w:trPr>
        <w:tc>
          <w:tcPr>
            <w:tcW w:w="2660" w:type="dxa"/>
            <w:vAlign w:val="bottom"/>
            <w:gridSpan w:val="2"/>
          </w:tcPr>
          <w:p>
            <w:pPr>
              <w:ind w:left="20"/>
              <w:spacing w:after="0" w:line="163" w:lineRule="exact"/>
              <w:rPr>
                <w:sz w:val="20"/>
                <w:szCs w:val="20"/>
                <w:color w:val="auto"/>
              </w:rPr>
            </w:pPr>
            <w:r>
              <w:rPr>
                <w:rFonts w:ascii="Arial" w:cs="Arial" w:eastAsia="Arial" w:hAnsi="Arial"/>
                <w:sz w:val="16"/>
                <w:szCs w:val="16"/>
                <w:color w:val="auto"/>
              </w:rPr>
              <w:t>Purchase accounting expenses,</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45,551</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45,697</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91,248</w:t>
            </w:r>
          </w:p>
        </w:tc>
        <w:tc>
          <w:tcPr>
            <w:tcW w:w="0" w:type="dxa"/>
            <w:vAlign w:val="bottom"/>
          </w:tcPr>
          <w:p>
            <w:pPr>
              <w:spacing w:after="0"/>
              <w:rPr>
                <w:sz w:val="1"/>
                <w:szCs w:val="1"/>
                <w:color w:val="auto"/>
              </w:rPr>
            </w:pPr>
          </w:p>
        </w:tc>
      </w:tr>
      <w:tr>
        <w:trPr>
          <w:trHeight w:val="215"/>
        </w:trPr>
        <w:tc>
          <w:tcPr>
            <w:tcW w:w="26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pre-tax </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60" w:type="dxa"/>
            <w:vAlign w:val="bottom"/>
            <w:gridSpan w:val="2"/>
          </w:tcPr>
          <w:p>
            <w:pPr>
              <w:ind w:left="20"/>
              <w:spacing w:after="0" w:line="163" w:lineRule="exact"/>
              <w:rPr>
                <w:sz w:val="20"/>
                <w:szCs w:val="20"/>
                <w:color w:val="auto"/>
              </w:rPr>
            </w:pPr>
            <w:r>
              <w:rPr>
                <w:rFonts w:ascii="Arial" w:cs="Arial" w:eastAsia="Arial" w:hAnsi="Arial"/>
                <w:sz w:val="16"/>
                <w:szCs w:val="16"/>
                <w:color w:val="auto"/>
              </w:rPr>
              <w:t>Purchase accounting expenses, tax</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(10,005)</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(10,053)</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(20,058)</w:t>
            </w:r>
          </w:p>
        </w:tc>
        <w:tc>
          <w:tcPr>
            <w:tcW w:w="0" w:type="dxa"/>
            <w:vAlign w:val="bottom"/>
          </w:tcPr>
          <w:p>
            <w:pPr>
              <w:spacing w:after="0"/>
              <w:rPr>
                <w:sz w:val="1"/>
                <w:szCs w:val="1"/>
                <w:color w:val="auto"/>
              </w:rPr>
            </w:pPr>
          </w:p>
        </w:tc>
      </w:tr>
      <w:tr>
        <w:trPr>
          <w:trHeight w:val="215"/>
        </w:trPr>
        <w:tc>
          <w:tcPr>
            <w:tcW w:w="26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impact </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60" w:type="dxa"/>
            <w:vAlign w:val="bottom"/>
            <w:gridSpan w:val="2"/>
          </w:tcPr>
          <w:p>
            <w:pPr>
              <w:ind w:left="20"/>
              <w:spacing w:after="0" w:line="163" w:lineRule="exact"/>
              <w:rPr>
                <w:sz w:val="20"/>
                <w:szCs w:val="20"/>
                <w:color w:val="auto"/>
              </w:rPr>
            </w:pPr>
            <w:r>
              <w:rPr>
                <w:rFonts w:ascii="Arial" w:cs="Arial" w:eastAsia="Arial" w:hAnsi="Arial"/>
                <w:sz w:val="16"/>
                <w:szCs w:val="16"/>
                <w:color w:val="auto"/>
              </w:rPr>
              <w:t>Restructuring and other costs, pre-</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24,684</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11,590</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36,274</w:t>
            </w:r>
          </w:p>
        </w:tc>
        <w:tc>
          <w:tcPr>
            <w:tcW w:w="0" w:type="dxa"/>
            <w:vAlign w:val="bottom"/>
          </w:tcPr>
          <w:p>
            <w:pPr>
              <w:spacing w:after="0"/>
              <w:rPr>
                <w:sz w:val="1"/>
                <w:szCs w:val="1"/>
                <w:color w:val="auto"/>
              </w:rPr>
            </w:pPr>
          </w:p>
        </w:tc>
      </w:tr>
      <w:tr>
        <w:trPr>
          <w:trHeight w:val="215"/>
        </w:trPr>
        <w:tc>
          <w:tcPr>
            <w:tcW w:w="26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tax </w:t>
            </w:r>
            <w:r>
              <w:rPr>
                <w:rFonts w:ascii="Arial" w:cs="Arial" w:eastAsia="Arial" w:hAnsi="Arial"/>
                <w:sz w:val="21"/>
                <w:szCs w:val="21"/>
                <w:color w:val="auto"/>
                <w:vertAlign w:val="superscript"/>
              </w:rPr>
              <w:t>3</w:t>
            </w: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60" w:type="dxa"/>
            <w:vAlign w:val="bottom"/>
            <w:gridSpan w:val="2"/>
          </w:tcPr>
          <w:p>
            <w:pPr>
              <w:ind w:left="20"/>
              <w:spacing w:after="0" w:line="163" w:lineRule="exact"/>
              <w:rPr>
                <w:sz w:val="20"/>
                <w:szCs w:val="20"/>
                <w:color w:val="auto"/>
              </w:rPr>
            </w:pPr>
            <w:r>
              <w:rPr>
                <w:rFonts w:ascii="Arial" w:cs="Arial" w:eastAsia="Arial" w:hAnsi="Arial"/>
                <w:sz w:val="16"/>
                <w:szCs w:val="16"/>
                <w:color w:val="auto"/>
              </w:rPr>
              <w:t>Restructuring and other costs, tax</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(4,875)</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(2,479)</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(7,354)</w:t>
            </w:r>
          </w:p>
        </w:tc>
        <w:tc>
          <w:tcPr>
            <w:tcW w:w="0" w:type="dxa"/>
            <w:vAlign w:val="bottom"/>
          </w:tcPr>
          <w:p>
            <w:pPr>
              <w:spacing w:after="0"/>
              <w:rPr>
                <w:sz w:val="1"/>
                <w:szCs w:val="1"/>
                <w:color w:val="auto"/>
              </w:rPr>
            </w:pPr>
          </w:p>
        </w:tc>
      </w:tr>
      <w:tr>
        <w:trPr>
          <w:trHeight w:val="215"/>
        </w:trPr>
        <w:tc>
          <w:tcPr>
            <w:tcW w:w="26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impact </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Disposition costs, pre-tax </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6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Disposition costs, tax impact </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6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(Gain) loss on disposition, pre-tax </w:t>
            </w:r>
            <w:r>
              <w:rPr>
                <w:rFonts w:ascii="Arial" w:cs="Arial" w:eastAsia="Arial" w:hAnsi="Arial"/>
                <w:sz w:val="21"/>
                <w:szCs w:val="21"/>
                <w:color w:val="auto"/>
                <w:vertAlign w:val="superscript"/>
              </w:rPr>
              <w:t>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(529,943)</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(529,280)</w:t>
            </w:r>
          </w:p>
        </w:tc>
        <w:tc>
          <w:tcPr>
            <w:tcW w:w="0" w:type="dxa"/>
            <w:vAlign w:val="bottom"/>
          </w:tcPr>
          <w:p>
            <w:pPr>
              <w:spacing w:after="0"/>
              <w:rPr>
                <w:sz w:val="1"/>
                <w:szCs w:val="1"/>
                <w:color w:val="auto"/>
              </w:rPr>
            </w:pPr>
          </w:p>
        </w:tc>
      </w:tr>
      <w:tr>
        <w:trPr>
          <w:trHeight w:val="163"/>
        </w:trPr>
        <w:tc>
          <w:tcPr>
            <w:tcW w:w="2660" w:type="dxa"/>
            <w:vAlign w:val="bottom"/>
            <w:gridSpan w:val="2"/>
          </w:tcPr>
          <w:p>
            <w:pPr>
              <w:ind w:left="20"/>
              <w:spacing w:after="0" w:line="163" w:lineRule="exact"/>
              <w:rPr>
                <w:sz w:val="20"/>
                <w:szCs w:val="20"/>
                <w:color w:val="auto"/>
              </w:rPr>
            </w:pPr>
            <w:r>
              <w:rPr>
                <w:rFonts w:ascii="Arial" w:cs="Arial" w:eastAsia="Arial" w:hAnsi="Arial"/>
                <w:sz w:val="16"/>
                <w:szCs w:val="16"/>
                <w:color w:val="auto"/>
              </w:rPr>
              <w:t>(Gain) loss on disposition, tax-</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114,973</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(144)</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114,829</w:t>
            </w:r>
          </w:p>
        </w:tc>
        <w:tc>
          <w:tcPr>
            <w:tcW w:w="0" w:type="dxa"/>
            <w:vAlign w:val="bottom"/>
          </w:tcPr>
          <w:p>
            <w:pPr>
              <w:spacing w:after="0"/>
              <w:rPr>
                <w:sz w:val="1"/>
                <w:szCs w:val="1"/>
                <w:color w:val="auto"/>
              </w:rPr>
            </w:pPr>
          </w:p>
        </w:tc>
      </w:tr>
      <w:tr>
        <w:trPr>
          <w:trHeight w:val="216"/>
        </w:trPr>
        <w:tc>
          <w:tcPr>
            <w:tcW w:w="26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impact </w:t>
            </w:r>
            <w:r>
              <w:rPr>
                <w:rFonts w:ascii="Arial" w:cs="Arial" w:eastAsia="Arial" w:hAnsi="Arial"/>
                <w:sz w:val="21"/>
                <w:szCs w:val="21"/>
                <w:color w:val="auto"/>
                <w:vertAlign w:val="superscript"/>
              </w:rPr>
              <w:t>2</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Adjusted net earnings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272,606</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327,096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599,702</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36004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26" w:lineRule="exact"/>
        <w:rPr>
          <w:sz w:val="20"/>
          <w:szCs w:val="20"/>
          <w:color w:val="auto"/>
        </w:rPr>
      </w:pPr>
    </w:p>
    <w:p>
      <w:pPr>
        <w:ind w:left="380"/>
        <w:spacing w:after="0"/>
        <w:tabs>
          <w:tab w:leader="none" w:pos="1300" w:val="left"/>
          <w:tab w:leader="none" w:pos="2060" w:val="left"/>
          <w:tab w:leader="none" w:pos="3180" w:val="left"/>
          <w:tab w:leader="none" w:pos="4140" w:val="left"/>
          <w:tab w:leader="none" w:pos="4880" w:val="left"/>
        </w:tabs>
        <w:rPr>
          <w:sz w:val="20"/>
          <w:szCs w:val="20"/>
          <w:color w:val="auto"/>
        </w:rPr>
      </w:pPr>
      <w:r>
        <w:rPr>
          <w:rFonts w:ascii="Arial" w:cs="Arial" w:eastAsia="Arial" w:hAnsi="Arial"/>
          <w:sz w:val="16"/>
          <w:szCs w:val="16"/>
          <w:b w:val="1"/>
          <w:bCs w:val="1"/>
          <w:color w:val="auto"/>
        </w:rPr>
        <w:t>Q1</w:t>
      </w:r>
      <w:r>
        <w:rPr>
          <w:sz w:val="20"/>
          <w:szCs w:val="20"/>
          <w:color w:val="auto"/>
        </w:rPr>
        <w:tab/>
      </w:r>
      <w:r>
        <w:rPr>
          <w:rFonts w:ascii="Arial" w:cs="Arial" w:eastAsia="Arial" w:hAnsi="Arial"/>
          <w:sz w:val="16"/>
          <w:szCs w:val="16"/>
          <w:b w:val="1"/>
          <w:bCs w:val="1"/>
          <w:color w:val="auto"/>
        </w:rPr>
        <w:t>Q2</w:t>
      </w:r>
      <w:r>
        <w:rPr>
          <w:sz w:val="20"/>
          <w:szCs w:val="20"/>
          <w:color w:val="auto"/>
        </w:rPr>
        <w:tab/>
      </w:r>
      <w:r>
        <w:rPr>
          <w:rFonts w:ascii="Arial" w:cs="Arial" w:eastAsia="Arial" w:hAnsi="Arial"/>
          <w:sz w:val="16"/>
          <w:szCs w:val="16"/>
          <w:b w:val="1"/>
          <w:bCs w:val="1"/>
          <w:color w:val="auto"/>
        </w:rPr>
        <w:t>Q2 YTD</w:t>
      </w:r>
      <w:r>
        <w:rPr>
          <w:sz w:val="20"/>
          <w:szCs w:val="20"/>
          <w:color w:val="auto"/>
        </w:rPr>
        <w:tab/>
      </w:r>
      <w:r>
        <w:rPr>
          <w:rFonts w:ascii="Arial" w:cs="Arial" w:eastAsia="Arial" w:hAnsi="Arial"/>
          <w:sz w:val="16"/>
          <w:szCs w:val="16"/>
          <w:b w:val="1"/>
          <w:bCs w:val="1"/>
          <w:color w:val="auto"/>
        </w:rPr>
        <w:t>Q3</w:t>
      </w:r>
      <w:r>
        <w:rPr>
          <w:sz w:val="20"/>
          <w:szCs w:val="20"/>
          <w:color w:val="auto"/>
        </w:rPr>
        <w:tab/>
      </w:r>
      <w:r>
        <w:rPr>
          <w:rFonts w:ascii="Arial" w:cs="Arial" w:eastAsia="Arial" w:hAnsi="Arial"/>
          <w:sz w:val="16"/>
          <w:szCs w:val="16"/>
          <w:b w:val="1"/>
          <w:bCs w:val="1"/>
          <w:color w:val="auto"/>
        </w:rPr>
        <w:t>Q4</w:t>
      </w:r>
      <w:r>
        <w:rPr>
          <w:sz w:val="20"/>
          <w:szCs w:val="20"/>
          <w:color w:val="auto"/>
        </w:rPr>
        <w:tab/>
      </w:r>
      <w:r>
        <w:rPr>
          <w:rFonts w:ascii="Arial" w:cs="Arial" w:eastAsia="Arial" w:hAnsi="Arial"/>
          <w:sz w:val="16"/>
          <w:szCs w:val="16"/>
          <w:b w:val="1"/>
          <w:bCs w:val="1"/>
          <w:color w:val="auto"/>
        </w:rPr>
        <w:t>FY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20955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8" w:lineRule="exact"/>
        <w:rPr>
          <w:sz w:val="20"/>
          <w:szCs w:val="20"/>
          <w:color w:val="auto"/>
        </w:rPr>
      </w:pPr>
    </w:p>
    <w:p>
      <w:pPr>
        <w:ind w:left="300" w:hanging="272"/>
        <w:spacing w:after="0"/>
        <w:tabs>
          <w:tab w:leader="none" w:pos="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228,574 $  242,239 </w:t>
      </w:r>
      <w:r>
        <w:rPr>
          <w:rFonts w:ascii="Arial" w:cs="Arial" w:eastAsia="Arial" w:hAnsi="Arial"/>
          <w:sz w:val="16"/>
          <w:szCs w:val="16"/>
          <w:b w:val="1"/>
          <w:bCs w:val="1"/>
          <w:color w:val="auto"/>
        </w:rPr>
        <w:t>$  470,813</w:t>
      </w:r>
      <w:r>
        <w:rPr>
          <w:rFonts w:ascii="Arial" w:cs="Arial" w:eastAsia="Arial" w:hAnsi="Arial"/>
          <w:sz w:val="16"/>
          <w:szCs w:val="16"/>
          <w:color w:val="auto"/>
        </w:rPr>
        <w:t xml:space="preserve"> $  289,753 $  296,262 </w:t>
      </w:r>
      <w:r>
        <w:rPr>
          <w:rFonts w:ascii="Arial" w:cs="Arial" w:eastAsia="Arial" w:hAnsi="Arial"/>
          <w:sz w:val="16"/>
          <w:szCs w:val="16"/>
          <w:b w:val="1"/>
          <w:bCs w:val="1"/>
          <w:color w:val="auto"/>
        </w:rPr>
        <w:t>$ 1,056,828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20955</wp:posOffset>
            </wp:positionV>
            <wp:extent cx="713232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0" w:type="dxa"/>
            <w:vAlign w:val="bottom"/>
          </w:tcPr>
          <w:p>
            <w:pPr>
              <w:jc w:val="right"/>
              <w:spacing w:after="0"/>
              <w:rPr>
                <w:sz w:val="20"/>
                <w:szCs w:val="20"/>
                <w:color w:val="auto"/>
              </w:rPr>
            </w:pPr>
            <w:r>
              <w:rPr>
                <w:rFonts w:ascii="Arial" w:cs="Arial" w:eastAsia="Arial" w:hAnsi="Arial"/>
                <w:sz w:val="16"/>
                <w:szCs w:val="16"/>
                <w:color w:val="auto"/>
              </w:rPr>
              <w:t>42,679</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40,200</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82,879</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40,320</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41,744</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164,943</w:t>
            </w:r>
          </w:p>
        </w:tc>
      </w:tr>
      <w:tr>
        <w:trPr>
          <w:trHeight w:val="378"/>
        </w:trPr>
        <w:tc>
          <w:tcPr>
            <w:tcW w:w="960" w:type="dxa"/>
            <w:vAlign w:val="bottom"/>
          </w:tcPr>
          <w:p>
            <w:pPr>
              <w:jc w:val="right"/>
              <w:spacing w:after="0"/>
              <w:rPr>
                <w:sz w:val="20"/>
                <w:szCs w:val="20"/>
                <w:color w:val="auto"/>
              </w:rPr>
            </w:pPr>
            <w:r>
              <w:rPr>
                <w:rFonts w:ascii="Arial" w:cs="Arial" w:eastAsia="Arial" w:hAnsi="Arial"/>
                <w:sz w:val="16"/>
                <w:szCs w:val="16"/>
                <w:color w:val="auto"/>
              </w:rPr>
              <w:t>(9,599)</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(9,012)</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(18,611)</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(8,966)</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(9,143)</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(36,720)</w:t>
            </w:r>
          </w:p>
        </w:tc>
      </w:tr>
      <w:tr>
        <w:trPr>
          <w:trHeight w:val="378"/>
        </w:trPr>
        <w:tc>
          <w:tcPr>
            <w:tcW w:w="960" w:type="dxa"/>
            <w:vAlign w:val="bottom"/>
          </w:tcPr>
          <w:p>
            <w:pPr>
              <w:jc w:val="right"/>
              <w:spacing w:after="0"/>
              <w:rPr>
                <w:sz w:val="20"/>
                <w:szCs w:val="20"/>
                <w:color w:val="auto"/>
              </w:rPr>
            </w:pPr>
            <w:r>
              <w:rPr>
                <w:rFonts w:ascii="Arial" w:cs="Arial" w:eastAsia="Arial" w:hAnsi="Arial"/>
                <w:sz w:val="16"/>
                <w:szCs w:val="16"/>
                <w:color w:val="auto"/>
              </w:rPr>
              <w:t>14,053</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18,143</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32,196</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12,327</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19,150</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63,673</w:t>
            </w:r>
          </w:p>
        </w:tc>
      </w:tr>
      <w:tr>
        <w:trPr>
          <w:trHeight w:val="371"/>
        </w:trPr>
        <w:tc>
          <w:tcPr>
            <w:tcW w:w="960" w:type="dxa"/>
            <w:vAlign w:val="bottom"/>
          </w:tcPr>
          <w:p>
            <w:pPr>
              <w:jc w:val="right"/>
              <w:spacing w:after="0"/>
              <w:rPr>
                <w:sz w:val="20"/>
                <w:szCs w:val="20"/>
                <w:color w:val="auto"/>
              </w:rPr>
            </w:pPr>
            <w:r>
              <w:rPr>
                <w:rFonts w:ascii="Arial" w:cs="Arial" w:eastAsia="Arial" w:hAnsi="Arial"/>
                <w:sz w:val="16"/>
                <w:szCs w:val="16"/>
                <w:color w:val="auto"/>
              </w:rPr>
              <w:t>(2,990)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(3,665)</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(6,655)</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(2,556)</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(3,970)</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(13,181)</w:t>
            </w: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1,302</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1,302</w:t>
            </w: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(270)</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(270)</w:t>
            </w:r>
          </w:p>
        </w:tc>
      </w:tr>
      <w:tr>
        <w:trPr>
          <w:trHeight w:val="223"/>
        </w:trPr>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372"/>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09"/>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272,717</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287,905</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560,622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330,878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345,075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$ 1,236,575</w:t>
            </w:r>
          </w:p>
        </w:tc>
      </w:tr>
      <w:tr>
        <w:trPr>
          <w:trHeight w:val="21"/>
        </w:trPr>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-1311275</wp:posOffset>
            </wp:positionV>
            <wp:extent cx="713232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-830580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-556895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-179070</wp:posOffset>
            </wp:positionV>
            <wp:extent cx="713232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80"/>
            <w:col w:w="5680"/>
          </w:cols>
          <w:pgMar w:left="320" w:top="364" w:right="339" w:bottom="1440" w:gutter="0" w:footer="0" w:header="0"/>
          <w:type w:val="continuous"/>
        </w:sectPr>
      </w:pP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Adjusted diluted net earnings per share:</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6"/>
                <w:szCs w:val="16"/>
                <w:color w:val="auto"/>
              </w:rPr>
              <w:t>Diluted net earnings per share</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4.52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2.04</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6.57</w:t>
            </w:r>
          </w:p>
        </w:tc>
        <w:tc>
          <w:tcPr>
            <w:tcW w:w="0" w:type="dxa"/>
            <w:vAlign w:val="bottom"/>
          </w:tcPr>
          <w:p>
            <w:pPr>
              <w:spacing w:after="0"/>
              <w:rPr>
                <w:sz w:val="1"/>
                <w:szCs w:val="1"/>
                <w:color w:val="auto"/>
              </w:rPr>
            </w:pPr>
          </w:p>
        </w:tc>
      </w:tr>
      <w:tr>
        <w:trPr>
          <w:trHeight w:val="163"/>
        </w:trPr>
        <w:tc>
          <w:tcPr>
            <w:tcW w:w="2640" w:type="dxa"/>
            <w:vAlign w:val="bottom"/>
          </w:tcPr>
          <w:p>
            <w:pPr>
              <w:spacing w:after="0" w:line="163" w:lineRule="exact"/>
              <w:rPr>
                <w:sz w:val="20"/>
                <w:szCs w:val="20"/>
                <w:color w:val="auto"/>
              </w:rPr>
            </w:pPr>
            <w:r>
              <w:rPr>
                <w:rFonts w:ascii="Arial" w:cs="Arial" w:eastAsia="Arial" w:hAnsi="Arial"/>
                <w:sz w:val="16"/>
                <w:szCs w:val="16"/>
                <w:color w:val="auto"/>
              </w:rPr>
              <w:t>Purchase accounting expenses,</w:t>
            </w:r>
          </w:p>
        </w:tc>
        <w:tc>
          <w:tcPr>
            <w:tcW w:w="4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0.33</w:t>
            </w: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0.33</w:t>
            </w: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0.66</w:t>
            </w:r>
          </w:p>
        </w:tc>
        <w:tc>
          <w:tcPr>
            <w:tcW w:w="0" w:type="dxa"/>
            <w:vAlign w:val="bottom"/>
          </w:tcPr>
          <w:p>
            <w:pPr>
              <w:spacing w:after="0"/>
              <w:rPr>
                <w:sz w:val="1"/>
                <w:szCs w:val="1"/>
                <w:color w:val="auto"/>
              </w:rPr>
            </w:pPr>
          </w:p>
        </w:tc>
      </w:tr>
      <w:tr>
        <w:trPr>
          <w:trHeight w:val="215"/>
        </w:trPr>
        <w:tc>
          <w:tcPr>
            <w:tcW w:w="2640" w:type="dxa"/>
            <w:vAlign w:val="bottom"/>
          </w:tcPr>
          <w:p>
            <w:pPr>
              <w:spacing w:after="0" w:line="216" w:lineRule="exact"/>
              <w:rPr>
                <w:sz w:val="20"/>
                <w:szCs w:val="20"/>
                <w:color w:val="auto"/>
              </w:rPr>
            </w:pPr>
            <w:r>
              <w:rPr>
                <w:rFonts w:ascii="Arial" w:cs="Arial" w:eastAsia="Arial" w:hAnsi="Arial"/>
                <w:sz w:val="16"/>
                <w:szCs w:val="16"/>
                <w:color w:val="auto"/>
              </w:rPr>
              <w:t xml:space="preserve">pre-tax </w:t>
            </w:r>
            <w:r>
              <w:rPr>
                <w:rFonts w:ascii="Arial" w:cs="Arial" w:eastAsia="Arial" w:hAnsi="Arial"/>
                <w:sz w:val="21"/>
                <w:szCs w:val="21"/>
                <w:color w:val="auto"/>
                <w:vertAlign w:val="superscript"/>
              </w:rPr>
              <w:t>1</w:t>
            </w:r>
          </w:p>
        </w:tc>
        <w:tc>
          <w:tcPr>
            <w:tcW w:w="4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40" w:type="dxa"/>
            <w:vAlign w:val="bottom"/>
          </w:tcPr>
          <w:p>
            <w:pPr>
              <w:spacing w:after="0" w:line="163" w:lineRule="exact"/>
              <w:rPr>
                <w:sz w:val="20"/>
                <w:szCs w:val="20"/>
                <w:color w:val="auto"/>
              </w:rPr>
            </w:pPr>
            <w:r>
              <w:rPr>
                <w:rFonts w:ascii="Arial" w:cs="Arial" w:eastAsia="Arial" w:hAnsi="Arial"/>
                <w:sz w:val="16"/>
                <w:szCs w:val="16"/>
                <w:color w:val="auto"/>
              </w:rPr>
              <w:t>Purchase accounting expenses, tax</w:t>
            </w:r>
          </w:p>
        </w:tc>
        <w:tc>
          <w:tcPr>
            <w:tcW w:w="4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(0.07)</w:t>
            </w: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(0.07)</w:t>
            </w: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(0.14)</w:t>
            </w:r>
          </w:p>
        </w:tc>
        <w:tc>
          <w:tcPr>
            <w:tcW w:w="0" w:type="dxa"/>
            <w:vAlign w:val="bottom"/>
          </w:tcPr>
          <w:p>
            <w:pPr>
              <w:spacing w:after="0"/>
              <w:rPr>
                <w:sz w:val="1"/>
                <w:szCs w:val="1"/>
                <w:color w:val="auto"/>
              </w:rPr>
            </w:pPr>
          </w:p>
        </w:tc>
      </w:tr>
      <w:tr>
        <w:trPr>
          <w:trHeight w:val="215"/>
        </w:trPr>
        <w:tc>
          <w:tcPr>
            <w:tcW w:w="2640" w:type="dxa"/>
            <w:vAlign w:val="bottom"/>
          </w:tcPr>
          <w:p>
            <w:pPr>
              <w:spacing w:after="0" w:line="216" w:lineRule="exact"/>
              <w:rPr>
                <w:sz w:val="20"/>
                <w:szCs w:val="20"/>
                <w:color w:val="auto"/>
              </w:rPr>
            </w:pPr>
            <w:r>
              <w:rPr>
                <w:rFonts w:ascii="Arial" w:cs="Arial" w:eastAsia="Arial" w:hAnsi="Arial"/>
                <w:sz w:val="16"/>
                <w:szCs w:val="16"/>
                <w:color w:val="auto"/>
              </w:rPr>
              <w:t xml:space="preserve">impact </w:t>
            </w:r>
            <w:r>
              <w:rPr>
                <w:rFonts w:ascii="Arial" w:cs="Arial" w:eastAsia="Arial" w:hAnsi="Arial"/>
                <w:sz w:val="21"/>
                <w:szCs w:val="21"/>
                <w:color w:val="auto"/>
                <w:vertAlign w:val="superscript"/>
              </w:rPr>
              <w:t>2</w:t>
            </w:r>
          </w:p>
        </w:tc>
        <w:tc>
          <w:tcPr>
            <w:tcW w:w="4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40" w:type="dxa"/>
            <w:vAlign w:val="bottom"/>
          </w:tcPr>
          <w:p>
            <w:pPr>
              <w:spacing w:after="0" w:line="163" w:lineRule="exact"/>
              <w:rPr>
                <w:sz w:val="20"/>
                <w:szCs w:val="20"/>
                <w:color w:val="auto"/>
              </w:rPr>
            </w:pPr>
            <w:r>
              <w:rPr>
                <w:rFonts w:ascii="Arial" w:cs="Arial" w:eastAsia="Arial" w:hAnsi="Arial"/>
                <w:sz w:val="16"/>
                <w:szCs w:val="16"/>
                <w:color w:val="auto"/>
              </w:rPr>
              <w:t>Restructuring and other costs, pre-</w:t>
            </w:r>
          </w:p>
        </w:tc>
        <w:tc>
          <w:tcPr>
            <w:tcW w:w="4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0.18</w:t>
            </w: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0.08</w:t>
            </w: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0.26</w:t>
            </w:r>
          </w:p>
        </w:tc>
        <w:tc>
          <w:tcPr>
            <w:tcW w:w="0" w:type="dxa"/>
            <w:vAlign w:val="bottom"/>
          </w:tcPr>
          <w:p>
            <w:pPr>
              <w:spacing w:after="0"/>
              <w:rPr>
                <w:sz w:val="1"/>
                <w:szCs w:val="1"/>
                <w:color w:val="auto"/>
              </w:rPr>
            </w:pPr>
          </w:p>
        </w:tc>
      </w:tr>
      <w:tr>
        <w:trPr>
          <w:trHeight w:val="215"/>
        </w:trPr>
        <w:tc>
          <w:tcPr>
            <w:tcW w:w="2640" w:type="dxa"/>
            <w:vAlign w:val="bottom"/>
          </w:tcPr>
          <w:p>
            <w:pPr>
              <w:spacing w:after="0" w:line="216" w:lineRule="exact"/>
              <w:rPr>
                <w:sz w:val="20"/>
                <w:szCs w:val="20"/>
                <w:color w:val="auto"/>
              </w:rPr>
            </w:pPr>
            <w:r>
              <w:rPr>
                <w:rFonts w:ascii="Arial" w:cs="Arial" w:eastAsia="Arial" w:hAnsi="Arial"/>
                <w:sz w:val="16"/>
                <w:szCs w:val="16"/>
                <w:color w:val="auto"/>
              </w:rPr>
              <w:t xml:space="preserve">tax </w:t>
            </w:r>
            <w:r>
              <w:rPr>
                <w:rFonts w:ascii="Arial" w:cs="Arial" w:eastAsia="Arial" w:hAnsi="Arial"/>
                <w:sz w:val="21"/>
                <w:szCs w:val="21"/>
                <w:color w:val="auto"/>
                <w:vertAlign w:val="superscript"/>
              </w:rPr>
              <w:t>3</w:t>
            </w:r>
          </w:p>
        </w:tc>
        <w:tc>
          <w:tcPr>
            <w:tcW w:w="4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40" w:type="dxa"/>
            <w:vAlign w:val="bottom"/>
          </w:tcPr>
          <w:p>
            <w:pPr>
              <w:spacing w:after="0" w:line="163" w:lineRule="exact"/>
              <w:rPr>
                <w:sz w:val="20"/>
                <w:szCs w:val="20"/>
                <w:color w:val="auto"/>
              </w:rPr>
            </w:pPr>
            <w:r>
              <w:rPr>
                <w:rFonts w:ascii="Arial" w:cs="Arial" w:eastAsia="Arial" w:hAnsi="Arial"/>
                <w:sz w:val="16"/>
                <w:szCs w:val="16"/>
                <w:color w:val="auto"/>
              </w:rPr>
              <w:t>Restructuring and other costs, tax</w:t>
            </w:r>
          </w:p>
        </w:tc>
        <w:tc>
          <w:tcPr>
            <w:tcW w:w="4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(0.03)</w:t>
            </w: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(0.05)</w:t>
            </w:r>
          </w:p>
        </w:tc>
        <w:tc>
          <w:tcPr>
            <w:tcW w:w="0" w:type="dxa"/>
            <w:vAlign w:val="bottom"/>
          </w:tcPr>
          <w:p>
            <w:pPr>
              <w:spacing w:after="0"/>
              <w:rPr>
                <w:sz w:val="1"/>
                <w:szCs w:val="1"/>
                <w:color w:val="auto"/>
              </w:rPr>
            </w:pPr>
          </w:p>
        </w:tc>
      </w:tr>
      <w:tr>
        <w:trPr>
          <w:trHeight w:val="215"/>
        </w:trPr>
        <w:tc>
          <w:tcPr>
            <w:tcW w:w="2640" w:type="dxa"/>
            <w:vAlign w:val="bottom"/>
          </w:tcPr>
          <w:p>
            <w:pPr>
              <w:spacing w:after="0" w:line="216" w:lineRule="exact"/>
              <w:rPr>
                <w:sz w:val="20"/>
                <w:szCs w:val="20"/>
                <w:color w:val="auto"/>
              </w:rPr>
            </w:pPr>
            <w:r>
              <w:rPr>
                <w:rFonts w:ascii="Arial" w:cs="Arial" w:eastAsia="Arial" w:hAnsi="Arial"/>
                <w:sz w:val="16"/>
                <w:szCs w:val="16"/>
                <w:color w:val="auto"/>
              </w:rPr>
              <w:t xml:space="preserve">impact </w:t>
            </w:r>
            <w:r>
              <w:rPr>
                <w:rFonts w:ascii="Arial" w:cs="Arial" w:eastAsia="Arial" w:hAnsi="Arial"/>
                <w:sz w:val="21"/>
                <w:szCs w:val="21"/>
                <w:color w:val="auto"/>
                <w:vertAlign w:val="superscript"/>
              </w:rPr>
              <w:t>2</w:t>
            </w:r>
          </w:p>
        </w:tc>
        <w:tc>
          <w:tcPr>
            <w:tcW w:w="4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line="216" w:lineRule="exact"/>
              <w:rPr>
                <w:sz w:val="20"/>
                <w:szCs w:val="20"/>
                <w:color w:val="auto"/>
              </w:rPr>
            </w:pPr>
            <w:r>
              <w:rPr>
                <w:rFonts w:ascii="Arial" w:cs="Arial" w:eastAsia="Arial" w:hAnsi="Arial"/>
                <w:sz w:val="16"/>
                <w:szCs w:val="16"/>
                <w:color w:val="auto"/>
              </w:rPr>
              <w:t xml:space="preserve">Disposition costs, pre-tax </w:t>
            </w:r>
            <w:r>
              <w:rPr>
                <w:rFonts w:ascii="Arial" w:cs="Arial" w:eastAsia="Arial" w:hAnsi="Arial"/>
                <w:sz w:val="21"/>
                <w:szCs w:val="21"/>
                <w:color w:val="auto"/>
                <w:vertAlign w:val="superscript"/>
              </w:rPr>
              <w:t>4</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640" w:type="dxa"/>
            <w:vAlign w:val="bottom"/>
          </w:tcPr>
          <w:p>
            <w:pPr>
              <w:spacing w:after="0" w:line="216" w:lineRule="exact"/>
              <w:rPr>
                <w:sz w:val="20"/>
                <w:szCs w:val="20"/>
                <w:color w:val="auto"/>
              </w:rPr>
            </w:pPr>
            <w:r>
              <w:rPr>
                <w:rFonts w:ascii="Arial" w:cs="Arial" w:eastAsia="Arial" w:hAnsi="Arial"/>
                <w:sz w:val="16"/>
                <w:szCs w:val="16"/>
                <w:color w:val="auto"/>
              </w:rPr>
              <w:t xml:space="preserve">Disposition costs, tax impact </w:t>
            </w:r>
            <w:r>
              <w:rPr>
                <w:rFonts w:ascii="Arial" w:cs="Arial" w:eastAsia="Arial" w:hAnsi="Arial"/>
                <w:sz w:val="21"/>
                <w:szCs w:val="21"/>
                <w:color w:val="auto"/>
                <w:vertAlign w:val="superscript"/>
              </w:rPr>
              <w:t>2</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640" w:type="dxa"/>
            <w:vAlign w:val="bottom"/>
          </w:tcPr>
          <w:p>
            <w:pPr>
              <w:spacing w:after="0" w:line="216" w:lineRule="exact"/>
              <w:rPr>
                <w:sz w:val="20"/>
                <w:szCs w:val="20"/>
                <w:color w:val="auto"/>
              </w:rPr>
            </w:pPr>
            <w:r>
              <w:rPr>
                <w:rFonts w:ascii="Arial" w:cs="Arial" w:eastAsia="Arial" w:hAnsi="Arial"/>
                <w:sz w:val="16"/>
                <w:szCs w:val="16"/>
                <w:color w:val="auto"/>
              </w:rPr>
              <w:t xml:space="preserve">(Gain) loss on disposition, pre-tax </w:t>
            </w:r>
            <w:r>
              <w:rPr>
                <w:rFonts w:ascii="Arial" w:cs="Arial" w:eastAsia="Arial" w:hAnsi="Arial"/>
                <w:sz w:val="21"/>
                <w:szCs w:val="21"/>
                <w:color w:val="auto"/>
                <w:vertAlign w:val="superscript"/>
              </w:rPr>
              <w:t>5</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(3.79)</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(3.80)</w:t>
            </w:r>
          </w:p>
        </w:tc>
        <w:tc>
          <w:tcPr>
            <w:tcW w:w="0" w:type="dxa"/>
            <w:vAlign w:val="bottom"/>
          </w:tcPr>
          <w:p>
            <w:pPr>
              <w:spacing w:after="0"/>
              <w:rPr>
                <w:sz w:val="1"/>
                <w:szCs w:val="1"/>
                <w:color w:val="auto"/>
              </w:rPr>
            </w:pPr>
          </w:p>
        </w:tc>
      </w:tr>
      <w:tr>
        <w:trPr>
          <w:trHeight w:val="163"/>
        </w:trPr>
        <w:tc>
          <w:tcPr>
            <w:tcW w:w="2640" w:type="dxa"/>
            <w:vAlign w:val="bottom"/>
          </w:tcPr>
          <w:p>
            <w:pPr>
              <w:spacing w:after="0" w:line="163" w:lineRule="exact"/>
              <w:rPr>
                <w:sz w:val="20"/>
                <w:szCs w:val="20"/>
                <w:color w:val="auto"/>
              </w:rPr>
            </w:pPr>
            <w:r>
              <w:rPr>
                <w:rFonts w:ascii="Arial" w:cs="Arial" w:eastAsia="Arial" w:hAnsi="Arial"/>
                <w:sz w:val="16"/>
                <w:szCs w:val="16"/>
                <w:color w:val="auto"/>
              </w:rPr>
              <w:t>(Gain) loss on disposition, tax-</w:t>
            </w:r>
          </w:p>
        </w:tc>
        <w:tc>
          <w:tcPr>
            <w:tcW w:w="4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0.82</w:t>
            </w: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0.83</w:t>
            </w:r>
          </w:p>
        </w:tc>
        <w:tc>
          <w:tcPr>
            <w:tcW w:w="0" w:type="dxa"/>
            <w:vAlign w:val="bottom"/>
          </w:tcPr>
          <w:p>
            <w:pPr>
              <w:spacing w:after="0"/>
              <w:rPr>
                <w:sz w:val="1"/>
                <w:szCs w:val="1"/>
                <w:color w:val="auto"/>
              </w:rPr>
            </w:pPr>
          </w:p>
        </w:tc>
      </w:tr>
      <w:tr>
        <w:trPr>
          <w:trHeight w:val="216"/>
        </w:trPr>
        <w:tc>
          <w:tcPr>
            <w:tcW w:w="2640" w:type="dxa"/>
            <w:vAlign w:val="bottom"/>
          </w:tcPr>
          <w:p>
            <w:pPr>
              <w:spacing w:after="0" w:line="216" w:lineRule="exact"/>
              <w:rPr>
                <w:sz w:val="20"/>
                <w:szCs w:val="20"/>
                <w:color w:val="auto"/>
              </w:rPr>
            </w:pPr>
            <w:r>
              <w:rPr>
                <w:rFonts w:ascii="Arial" w:cs="Arial" w:eastAsia="Arial" w:hAnsi="Arial"/>
                <w:sz w:val="16"/>
                <w:szCs w:val="16"/>
                <w:color w:val="auto"/>
              </w:rPr>
              <w:t xml:space="preserve">impact </w:t>
            </w:r>
            <w:r>
              <w:rPr>
                <w:rFonts w:ascii="Arial" w:cs="Arial" w:eastAsia="Arial" w:hAnsi="Arial"/>
                <w:sz w:val="21"/>
                <w:szCs w:val="21"/>
                <w:color w:val="auto"/>
                <w:vertAlign w:val="superscript"/>
              </w:rPr>
              <w:t>2</w:t>
            </w: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line="142" w:lineRule="exact"/>
              <w:rPr>
                <w:sz w:val="20"/>
                <w:szCs w:val="20"/>
                <w:color w:val="auto"/>
              </w:rPr>
            </w:pPr>
            <w:r>
              <w:rPr>
                <w:rFonts w:ascii="Arial" w:cs="Arial" w:eastAsia="Arial" w:hAnsi="Arial"/>
                <w:sz w:val="16"/>
                <w:szCs w:val="16"/>
                <w:color w:val="auto"/>
              </w:rPr>
              <w:t>Adjusted diluted net earnings per</w:t>
            </w:r>
          </w:p>
        </w:tc>
        <w:tc>
          <w:tcPr>
            <w:tcW w:w="48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1.95</w:t>
            </w: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2.36</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4.31</w:t>
            </w:r>
          </w:p>
        </w:tc>
        <w:tc>
          <w:tcPr>
            <w:tcW w:w="0" w:type="dxa"/>
            <w:vAlign w:val="bottom"/>
          </w:tcPr>
          <w:p>
            <w:pPr>
              <w:spacing w:after="0"/>
              <w:rPr>
                <w:sz w:val="1"/>
                <w:szCs w:val="1"/>
                <w:color w:val="auto"/>
              </w:rPr>
            </w:pPr>
          </w:p>
        </w:tc>
      </w:tr>
      <w:tr>
        <w:trPr>
          <w:trHeight w:val="194"/>
        </w:trPr>
        <w:tc>
          <w:tcPr>
            <w:tcW w:w="2640" w:type="dxa"/>
            <w:vAlign w:val="bottom"/>
          </w:tcPr>
          <w:p>
            <w:pPr>
              <w:spacing w:after="0"/>
              <w:rPr>
                <w:sz w:val="20"/>
                <w:szCs w:val="20"/>
                <w:color w:val="auto"/>
              </w:rPr>
            </w:pPr>
            <w:r>
              <w:rPr>
                <w:rFonts w:ascii="Arial" w:cs="Arial" w:eastAsia="Arial" w:hAnsi="Arial"/>
                <w:sz w:val="16"/>
                <w:szCs w:val="16"/>
                <w:color w:val="auto"/>
              </w:rPr>
              <w:t>share</w:t>
            </w:r>
          </w:p>
        </w:tc>
        <w:tc>
          <w:tcPr>
            <w:tcW w:w="4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1.72</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3.35</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2.11</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7.52</w:t>
            </w:r>
          </w:p>
        </w:tc>
      </w:tr>
      <w:tr>
        <w:trPr>
          <w:trHeight w:val="378"/>
        </w:trPr>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0.30</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0.29</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0.59</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0.29</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0.30</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1.18</w:t>
            </w:r>
          </w:p>
        </w:tc>
      </w:tr>
      <w:tr>
        <w:trPr>
          <w:trHeight w:val="378"/>
        </w:trPr>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(0.07)</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(0.06)</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(0.13)</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(0.06)</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(0.07)</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(0.26)</w:t>
            </w:r>
          </w:p>
        </w:tc>
      </w:tr>
      <w:tr>
        <w:trPr>
          <w:trHeight w:val="378"/>
        </w:trPr>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0.10</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0.13</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0.23</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0.09</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0.14</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0.46</w:t>
            </w:r>
          </w:p>
        </w:tc>
      </w:tr>
      <w:tr>
        <w:trPr>
          <w:trHeight w:val="371"/>
        </w:trPr>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(0.02)</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(0.03)</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(0.05)</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(0.02)</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(0.03)</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(0.10)</w:t>
            </w:r>
          </w:p>
        </w:tc>
      </w:tr>
      <w:tr>
        <w:trPr>
          <w:trHeight w:val="216"/>
        </w:trPr>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0.01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0.01</w:t>
            </w:r>
          </w:p>
        </w:tc>
      </w:tr>
      <w:tr>
        <w:trPr>
          <w:trHeight w:val="216"/>
        </w:trPr>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23"/>
        </w:trPr>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372"/>
        </w:trPr>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331"/>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3.99</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8.80</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-2005330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-1628140</wp:posOffset>
            </wp:positionV>
            <wp:extent cx="7132320"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-1148080</wp:posOffset>
            </wp:positionV>
            <wp:extent cx="713232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-770890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-496570</wp:posOffset>
            </wp:positionV>
            <wp:extent cx="713232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80"/>
            <w:col w:w="5680"/>
          </w:cols>
          <w:pgMar w:left="320" w:top="364" w:right="339" w:bottom="1440" w:gutter="0" w:footer="0" w:header="0"/>
          <w:type w:val="continuous"/>
        </w:sectPr>
      </w:pPr>
    </w:p>
    <w:p>
      <w:pPr>
        <w:spacing w:after="0" w:line="56" w:lineRule="exact"/>
        <w:rPr>
          <w:sz w:val="20"/>
          <w:szCs w:val="20"/>
          <w:color w:val="auto"/>
        </w:rPr>
      </w:pPr>
    </w:p>
    <w:p>
      <w:pPr>
        <w:ind w:left="120" w:hanging="94"/>
        <w:spacing w:after="0"/>
        <w:tabs>
          <w:tab w:leader="none" w:pos="12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Purchase accounting expenses are primarily comprised of amortization of acquired intangible assets.</w:t>
      </w:r>
    </w:p>
    <w:p>
      <w:pPr>
        <w:spacing w:after="0" w:line="29" w:lineRule="exact"/>
        <w:rPr>
          <w:sz w:val="20"/>
          <w:szCs w:val="20"/>
          <w:color w:val="auto"/>
        </w:rPr>
      </w:pPr>
    </w:p>
    <w:p>
      <w:pPr>
        <w:ind w:left="120" w:hanging="94"/>
        <w:spacing w:after="0"/>
        <w:tabs>
          <w:tab w:leader="none" w:pos="1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Adjustments were tax effected using the statutory tax rates in the applicable jurisdictions or the effective tax rate, where applicable, for each period.</w:t>
      </w:r>
    </w:p>
    <w:p>
      <w:pPr>
        <w:spacing w:after="0" w:line="69" w:lineRule="exact"/>
        <w:rPr>
          <w:sz w:val="20"/>
          <w:szCs w:val="20"/>
          <w:color w:val="auto"/>
        </w:rPr>
      </w:pPr>
    </w:p>
    <w:p>
      <w:pPr>
        <w:jc w:val="both"/>
        <w:ind w:left="20" w:right="40" w:firstLine="6"/>
        <w:spacing w:after="0" w:line="222" w:lineRule="auto"/>
        <w:tabs>
          <w:tab w:leader="none" w:pos="129"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Restructuring and other costs relate to actions taken for headcount reductions, facility consolidations and site closures, product line exits, and other asset charges. Q1 and Q2 YTD 2024 include $3.4M and Q3 and FY 2023 include $3.3M of non-cash asset impairment charges for our Climate &amp; Sustainability Technologies segment.</w:t>
      </w:r>
    </w:p>
    <w:p>
      <w:pPr>
        <w:spacing w:after="0" w:line="31" w:lineRule="exact"/>
        <w:rPr>
          <w:sz w:val="20"/>
          <w:szCs w:val="20"/>
          <w:color w:val="auto"/>
        </w:rPr>
      </w:pPr>
    </w:p>
    <w:p>
      <w:pPr>
        <w:ind w:left="120" w:hanging="94"/>
        <w:spacing w:after="0"/>
        <w:tabs>
          <w:tab w:leader="none" w:pos="1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Q4 and FY 2023 disposition costs relate to the sale of De-Sta-Co.</w:t>
      </w:r>
    </w:p>
    <w:p>
      <w:pPr>
        <w:spacing w:after="0" w:line="69" w:lineRule="exact"/>
        <w:rPr>
          <w:sz w:val="20"/>
          <w:szCs w:val="20"/>
          <w:color w:val="auto"/>
        </w:rPr>
      </w:pPr>
    </w:p>
    <w:p>
      <w:pPr>
        <w:ind w:left="20" w:right="20" w:firstLine="6"/>
        <w:spacing w:after="0" w:line="204" w:lineRule="auto"/>
        <w:tabs>
          <w:tab w:leader="none" w:pos="136"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(Gain) loss on disposition due to the sale of De-Sta-Co in the Engineered Products segment, including a $0.7M post-closing adjustment recorded in Q2 2024.</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Per share data and totals may be impacted by rounding.</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 - 4</w:t>
      </w:r>
    </w:p>
    <w:p>
      <w:pPr>
        <w:sectPr>
          <w:pgSz w:w="11900" w:h="16838" w:orient="portrait"/>
          <w:cols w:equalWidth="0" w:num="1">
            <w:col w:w="11240"/>
          </w:cols>
          <w:pgMar w:left="320" w:top="364" w:right="3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ADJUSTED SEGMENT EBITDA (NON-GAAP)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(unaudited)(in thousands)</w:t>
      </w:r>
    </w:p>
    <w:tbl>
      <w:tblPr>
        <w:tblLayout w:type="fixed"/>
        <w:tblInd w:w="0" w:type="dxa"/>
        <w:tblCellMar>
          <w:top w:w="0" w:type="dxa"/>
          <w:left w:w="0" w:type="dxa"/>
          <w:bottom w:w="0" w:type="dxa"/>
          <w:right w:w="0" w:type="dxa"/>
        </w:tblCellMar>
      </w:tblPr>
      <w:tr>
        <w:trPr>
          <w:trHeight w:val="172"/>
        </w:trPr>
        <w:tc>
          <w:tcPr>
            <w:tcW w:w="2920" w:type="dxa"/>
            <w:vAlign w:val="bottom"/>
            <w:gridSpan w:val="8"/>
          </w:tcPr>
          <w:p>
            <w:pPr>
              <w:spacing w:after="0" w:line="172" w:lineRule="exact"/>
              <w:rPr>
                <w:sz w:val="20"/>
                <w:szCs w:val="20"/>
                <w:color w:val="auto"/>
              </w:rPr>
            </w:pPr>
            <w:r>
              <w:rPr>
                <w:rFonts w:ascii="Arial" w:cs="Arial" w:eastAsia="Arial" w:hAnsi="Arial"/>
                <w:sz w:val="16"/>
                <w:szCs w:val="16"/>
                <w:b w:val="1"/>
                <w:bCs w:val="1"/>
                <w:color w:val="auto"/>
              </w:rPr>
              <w:t>Non-GAAP Reconciliations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7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Q1</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3"/>
              </w:rPr>
              <w:t>Q2</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Q2 YTD</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Q1</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Q2</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Q2 YTD</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Q3</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Q4</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FY 2023</w:t>
            </w: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tcPr>
          <w:p>
            <w:pPr>
              <w:spacing w:after="0"/>
              <w:rPr>
                <w:sz w:val="15"/>
                <w:szCs w:val="15"/>
                <w:color w:val="auto"/>
              </w:rPr>
            </w:pPr>
          </w:p>
        </w:tc>
        <w:tc>
          <w:tcPr>
            <w:tcW w:w="2880" w:type="dxa"/>
            <w:vAlign w:val="bottom"/>
            <w:gridSpan w:val="7"/>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ADJUSTED SEGMENT EBITDA</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gridSpan w:val="2"/>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tcPr>
          <w:p>
            <w:pPr>
              <w:spacing w:after="0"/>
              <w:rPr>
                <w:sz w:val="15"/>
                <w:szCs w:val="15"/>
                <w:color w:val="auto"/>
              </w:rPr>
            </w:pPr>
          </w:p>
        </w:tc>
        <w:tc>
          <w:tcPr>
            <w:tcW w:w="2880" w:type="dxa"/>
            <w:vAlign w:val="bottom"/>
            <w:gridSpan w:val="7"/>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Engineered Products: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2880" w:type="dxa"/>
            <w:vAlign w:val="bottom"/>
            <w:gridSpan w:val="7"/>
          </w:tcPr>
          <w:p>
            <w:pPr>
              <w:spacing w:after="0"/>
              <w:rPr>
                <w:sz w:val="20"/>
                <w:szCs w:val="20"/>
                <w:color w:val="auto"/>
              </w:rPr>
            </w:pPr>
            <w:r>
              <w:rPr>
                <w:rFonts w:ascii="Arial" w:cs="Arial" w:eastAsia="Arial" w:hAnsi="Arial"/>
                <w:sz w:val="16"/>
                <w:szCs w:val="16"/>
                <w:color w:val="auto"/>
              </w:rPr>
              <w:t>Segment earnings</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103,969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101,247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205,216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84,275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73,076</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157,351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101,610</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118,464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377,425</w:t>
            </w:r>
          </w:p>
        </w:tc>
        <w:tc>
          <w:tcPr>
            <w:tcW w:w="0" w:type="dxa"/>
            <w:vAlign w:val="bottom"/>
          </w:tcPr>
          <w:p>
            <w:pPr>
              <w:spacing w:after="0"/>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2880" w:type="dxa"/>
            <w:vAlign w:val="bottom"/>
            <w:gridSpan w:val="7"/>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Other depreciation and amortization </w:t>
            </w:r>
            <w:r>
              <w:rPr>
                <w:rFonts w:ascii="Arial" w:cs="Arial" w:eastAsia="Arial" w:hAnsi="Arial"/>
                <w:sz w:val="21"/>
                <w:szCs w:val="21"/>
                <w:color w:val="auto"/>
                <w:vertAlign w:val="superscript"/>
              </w:rPr>
              <w:t>1</w:t>
            </w: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6,361</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6,343</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7,070</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7,300</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14,370</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7,306</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6,397</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28,073</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880" w:type="dxa"/>
            <w:vAlign w:val="bottom"/>
            <w:gridSpan w:val="7"/>
          </w:tcPr>
          <w:p>
            <w:pPr>
              <w:spacing w:after="0" w:line="210" w:lineRule="exact"/>
              <w:rPr>
                <w:sz w:val="20"/>
                <w:szCs w:val="20"/>
                <w:color w:val="auto"/>
              </w:rPr>
            </w:pPr>
            <w:r>
              <w:rPr>
                <w:rFonts w:ascii="Arial" w:cs="Arial" w:eastAsia="Arial" w:hAnsi="Arial"/>
                <w:sz w:val="16"/>
                <w:szCs w:val="16"/>
                <w:color w:val="auto"/>
              </w:rPr>
              <w:t xml:space="preserve">Adjusted segment EBITDA </w:t>
            </w:r>
            <w:r>
              <w:rPr>
                <w:rFonts w:ascii="Arial" w:cs="Arial" w:eastAsia="Arial" w:hAnsi="Arial"/>
                <w:sz w:val="21"/>
                <w:szCs w:val="21"/>
                <w:color w:val="auto"/>
                <w:vertAlign w:val="superscript"/>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110,330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107,590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217,920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91,345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80,376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171,721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108,916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124,861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405,498</w:t>
            </w:r>
          </w:p>
        </w:tc>
        <w:tc>
          <w:tcPr>
            <w:tcW w:w="0" w:type="dxa"/>
            <w:vAlign w:val="bottom"/>
          </w:tcPr>
          <w:p>
            <w:pPr>
              <w:spacing w:after="0"/>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2880" w:type="dxa"/>
            <w:vAlign w:val="bottom"/>
            <w:gridSpan w:val="7"/>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Adjusted segment EBITDA margin </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20.3 %</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18.4 %</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17.7 %</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21.6 %</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20.2 %</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tcPr>
          <w:p>
            <w:pPr>
              <w:spacing w:after="0"/>
              <w:rPr>
                <w:sz w:val="15"/>
                <w:szCs w:val="15"/>
                <w:color w:val="auto"/>
              </w:rPr>
            </w:pPr>
          </w:p>
        </w:tc>
        <w:tc>
          <w:tcPr>
            <w:tcW w:w="2880" w:type="dxa"/>
            <w:vAlign w:val="bottom"/>
            <w:gridSpan w:val="7"/>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Clean Energy &amp; Fueling:</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2880" w:type="dxa"/>
            <w:vAlign w:val="bottom"/>
            <w:gridSpan w:val="7"/>
          </w:tcPr>
          <w:p>
            <w:pPr>
              <w:spacing w:after="0"/>
              <w:rPr>
                <w:sz w:val="20"/>
                <w:szCs w:val="20"/>
                <w:color w:val="auto"/>
              </w:rPr>
            </w:pPr>
            <w:r>
              <w:rPr>
                <w:rFonts w:ascii="Arial" w:cs="Arial" w:eastAsia="Arial" w:hAnsi="Arial"/>
                <w:sz w:val="16"/>
                <w:szCs w:val="16"/>
                <w:color w:val="auto"/>
              </w:rPr>
              <w:t>Segment earnings</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69,675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87,536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157,211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73,605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83,616</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157,221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92,483</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78,900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328,604</w:t>
            </w:r>
          </w:p>
        </w:tc>
        <w:tc>
          <w:tcPr>
            <w:tcW w:w="0" w:type="dxa"/>
            <w:vAlign w:val="bottom"/>
          </w:tcPr>
          <w:p>
            <w:pPr>
              <w:spacing w:after="0"/>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2880" w:type="dxa"/>
            <w:vAlign w:val="bottom"/>
            <w:gridSpan w:val="7"/>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Other depreciation and amortization </w:t>
            </w:r>
            <w:r>
              <w:rPr>
                <w:rFonts w:ascii="Arial" w:cs="Arial" w:eastAsia="Arial" w:hAnsi="Arial"/>
                <w:sz w:val="21"/>
                <w:szCs w:val="21"/>
                <w:color w:val="auto"/>
                <w:vertAlign w:val="superscript"/>
              </w:rPr>
              <w:t>1</w:t>
            </w: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7,921</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7,627</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15,548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7,046</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7,541</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14,587</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7,686</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7,844</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30,117</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880" w:type="dxa"/>
            <w:vAlign w:val="bottom"/>
            <w:gridSpan w:val="7"/>
          </w:tcPr>
          <w:p>
            <w:pPr>
              <w:spacing w:after="0" w:line="210" w:lineRule="exact"/>
              <w:rPr>
                <w:sz w:val="20"/>
                <w:szCs w:val="20"/>
                <w:color w:val="auto"/>
              </w:rPr>
            </w:pPr>
            <w:r>
              <w:rPr>
                <w:rFonts w:ascii="Arial" w:cs="Arial" w:eastAsia="Arial" w:hAnsi="Arial"/>
                <w:sz w:val="16"/>
                <w:szCs w:val="16"/>
                <w:color w:val="auto"/>
              </w:rPr>
              <w:t xml:space="preserve">Adjusted segment EBITDA </w:t>
            </w:r>
            <w:r>
              <w:rPr>
                <w:rFonts w:ascii="Arial" w:cs="Arial" w:eastAsia="Arial" w:hAnsi="Arial"/>
                <w:sz w:val="21"/>
                <w:szCs w:val="21"/>
                <w:color w:val="auto"/>
                <w:vertAlign w:val="superscript"/>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77,596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95,163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172,759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80,651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91,157</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171,808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100,169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86,744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358,721</w:t>
            </w:r>
          </w:p>
        </w:tc>
        <w:tc>
          <w:tcPr>
            <w:tcW w:w="0" w:type="dxa"/>
            <w:vAlign w:val="bottom"/>
          </w:tcPr>
          <w:p>
            <w:pPr>
              <w:spacing w:after="0"/>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2880" w:type="dxa"/>
            <w:vAlign w:val="bottom"/>
            <w:gridSpan w:val="7"/>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Adjusted segment EBITDA margin </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17.4 %</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20.7 %</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19.7 %</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21.5 %</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20.1 %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tcPr>
          <w:p>
            <w:pPr>
              <w:spacing w:after="0"/>
              <w:rPr>
                <w:sz w:val="15"/>
                <w:szCs w:val="15"/>
                <w:color w:val="auto"/>
              </w:rPr>
            </w:pPr>
          </w:p>
        </w:tc>
        <w:tc>
          <w:tcPr>
            <w:tcW w:w="2880" w:type="dxa"/>
            <w:vAlign w:val="bottom"/>
            <w:gridSpan w:val="7"/>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Imaging &amp; Identification:</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2880" w:type="dxa"/>
            <w:vAlign w:val="bottom"/>
            <w:gridSpan w:val="7"/>
          </w:tcPr>
          <w:p>
            <w:pPr>
              <w:spacing w:after="0"/>
              <w:rPr>
                <w:sz w:val="20"/>
                <w:szCs w:val="20"/>
                <w:color w:val="auto"/>
              </w:rPr>
            </w:pPr>
            <w:r>
              <w:rPr>
                <w:rFonts w:ascii="Arial" w:cs="Arial" w:eastAsia="Arial" w:hAnsi="Arial"/>
                <w:sz w:val="16"/>
                <w:szCs w:val="16"/>
                <w:color w:val="auto"/>
              </w:rPr>
              <w:t>Segment earnings</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69,959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75,786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145,745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68,315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61,336</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129,651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70,316</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72,545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272,512</w:t>
            </w:r>
          </w:p>
        </w:tc>
        <w:tc>
          <w:tcPr>
            <w:tcW w:w="0" w:type="dxa"/>
            <w:vAlign w:val="bottom"/>
          </w:tcPr>
          <w:p>
            <w:pPr>
              <w:spacing w:after="0"/>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2880" w:type="dxa"/>
            <w:vAlign w:val="bottom"/>
            <w:gridSpan w:val="7"/>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Other depreciation and amortization </w:t>
            </w:r>
            <w:r>
              <w:rPr>
                <w:rFonts w:ascii="Arial" w:cs="Arial" w:eastAsia="Arial" w:hAnsi="Arial"/>
                <w:sz w:val="21"/>
                <w:szCs w:val="21"/>
                <w:color w:val="auto"/>
                <w:vertAlign w:val="superscript"/>
              </w:rPr>
              <w:t>1</w:t>
            </w: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3,733</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3,271</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3,394</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3,745</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7,139</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3,972</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4,182</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15,293</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880" w:type="dxa"/>
            <w:vAlign w:val="bottom"/>
            <w:gridSpan w:val="7"/>
          </w:tcPr>
          <w:p>
            <w:pPr>
              <w:spacing w:after="0" w:line="210" w:lineRule="exact"/>
              <w:rPr>
                <w:sz w:val="20"/>
                <w:szCs w:val="20"/>
                <w:color w:val="auto"/>
              </w:rPr>
            </w:pPr>
            <w:r>
              <w:rPr>
                <w:rFonts w:ascii="Arial" w:cs="Arial" w:eastAsia="Arial" w:hAnsi="Arial"/>
                <w:sz w:val="16"/>
                <w:szCs w:val="16"/>
                <w:color w:val="auto"/>
              </w:rPr>
              <w:t xml:space="preserve">Adjusted segment EBITDA </w:t>
            </w:r>
            <w:r>
              <w:rPr>
                <w:rFonts w:ascii="Arial" w:cs="Arial" w:eastAsia="Arial" w:hAnsi="Arial"/>
                <w:sz w:val="21"/>
                <w:szCs w:val="21"/>
                <w:color w:val="auto"/>
                <w:vertAlign w:val="superscript"/>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73,692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79,057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152,749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71,709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65,081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136,790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74,288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76,727</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287,805</w:t>
            </w:r>
          </w:p>
        </w:tc>
        <w:tc>
          <w:tcPr>
            <w:tcW w:w="0" w:type="dxa"/>
            <w:vAlign w:val="bottom"/>
          </w:tcPr>
          <w:p>
            <w:pPr>
              <w:spacing w:after="0"/>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2880" w:type="dxa"/>
            <w:vAlign w:val="bottom"/>
            <w:gridSpan w:val="7"/>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Adjusted segment EBITDA margin </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26.6 %</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27.5 %</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25.3 %</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23.9 %</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24.6 %</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26.9 %</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25.8 %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tcPr>
          <w:p>
            <w:pPr>
              <w:spacing w:after="0"/>
              <w:rPr>
                <w:sz w:val="15"/>
                <w:szCs w:val="15"/>
                <w:color w:val="auto"/>
              </w:rPr>
            </w:pPr>
          </w:p>
        </w:tc>
        <w:tc>
          <w:tcPr>
            <w:tcW w:w="2880" w:type="dxa"/>
            <w:vAlign w:val="bottom"/>
            <w:gridSpan w:val="7"/>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Pumps &amp; Process Solutions: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2880" w:type="dxa"/>
            <w:vAlign w:val="bottom"/>
            <w:gridSpan w:val="7"/>
          </w:tcPr>
          <w:p>
            <w:pPr>
              <w:spacing w:after="0"/>
              <w:rPr>
                <w:sz w:val="20"/>
                <w:szCs w:val="20"/>
                <w:color w:val="auto"/>
              </w:rPr>
            </w:pPr>
            <w:r>
              <w:rPr>
                <w:rFonts w:ascii="Arial" w:cs="Arial" w:eastAsia="Arial" w:hAnsi="Arial"/>
                <w:sz w:val="16"/>
                <w:szCs w:val="16"/>
                <w:color w:val="auto"/>
              </w:rPr>
              <w:t>Segment earnings</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118,737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137,217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255,954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115,244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129,337</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244,581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117,907</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121,917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484,405</w:t>
            </w:r>
          </w:p>
        </w:tc>
        <w:tc>
          <w:tcPr>
            <w:tcW w:w="0" w:type="dxa"/>
            <w:vAlign w:val="bottom"/>
          </w:tcPr>
          <w:p>
            <w:pPr>
              <w:spacing w:after="0"/>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2880" w:type="dxa"/>
            <w:vAlign w:val="bottom"/>
            <w:gridSpan w:val="7"/>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Other depreciation and amortization </w:t>
            </w:r>
            <w:r>
              <w:rPr>
                <w:rFonts w:ascii="Arial" w:cs="Arial" w:eastAsia="Arial" w:hAnsi="Arial"/>
                <w:sz w:val="21"/>
                <w:szCs w:val="21"/>
                <w:color w:val="auto"/>
                <w:vertAlign w:val="superscript"/>
              </w:rPr>
              <w:t>1</w:t>
            </w: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12,139</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12,637</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24,776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10,939</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11,609</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22,548</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12,052</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11,744</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46,344</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80" w:type="dxa"/>
            <w:vAlign w:val="bottom"/>
            <w:gridSpan w:val="7"/>
          </w:tcPr>
          <w:p>
            <w:pPr>
              <w:spacing w:after="0" w:line="210" w:lineRule="exact"/>
              <w:rPr>
                <w:sz w:val="20"/>
                <w:szCs w:val="20"/>
                <w:color w:val="auto"/>
              </w:rPr>
            </w:pPr>
            <w:r>
              <w:rPr>
                <w:rFonts w:ascii="Arial" w:cs="Arial" w:eastAsia="Arial" w:hAnsi="Arial"/>
                <w:sz w:val="16"/>
                <w:szCs w:val="16"/>
                <w:color w:val="auto"/>
              </w:rPr>
              <w:t xml:space="preserve">Adjusted segment EBITDA </w:t>
            </w:r>
            <w:r>
              <w:rPr>
                <w:rFonts w:ascii="Arial" w:cs="Arial" w:eastAsia="Arial" w:hAnsi="Arial"/>
                <w:sz w:val="21"/>
                <w:szCs w:val="21"/>
                <w:color w:val="auto"/>
                <w:vertAlign w:val="superscript"/>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130,876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149,854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280,730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126,183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140,946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267,129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129,959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133,661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530,749</w:t>
            </w:r>
          </w:p>
        </w:tc>
        <w:tc>
          <w:tcPr>
            <w:tcW w:w="0" w:type="dxa"/>
            <w:vAlign w:val="bottom"/>
          </w:tcPr>
          <w:p>
            <w:pPr>
              <w:spacing w:after="0"/>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2880" w:type="dxa"/>
            <w:vAlign w:val="bottom"/>
            <w:gridSpan w:val="7"/>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Adjusted segment EBITDA margin </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28.1 %</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31.4 %</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30.5 %</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30.3 %</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30.4 %</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30.1 %</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30.2 %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tcPr>
          <w:p>
            <w:pPr>
              <w:spacing w:after="0"/>
              <w:rPr>
                <w:sz w:val="15"/>
                <w:szCs w:val="15"/>
                <w:color w:val="auto"/>
              </w:rPr>
            </w:pPr>
          </w:p>
        </w:tc>
        <w:tc>
          <w:tcPr>
            <w:tcW w:w="3060" w:type="dxa"/>
            <w:vAlign w:val="bottom"/>
            <w:gridSpan w:val="9"/>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Climate &amp; Sustainability Technologies:</w:t>
            </w: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2880" w:type="dxa"/>
            <w:vAlign w:val="bottom"/>
            <w:gridSpan w:val="7"/>
          </w:tcPr>
          <w:p>
            <w:pPr>
              <w:spacing w:after="0"/>
              <w:rPr>
                <w:sz w:val="20"/>
                <w:szCs w:val="20"/>
                <w:color w:val="auto"/>
              </w:rPr>
            </w:pPr>
            <w:r>
              <w:rPr>
                <w:rFonts w:ascii="Arial" w:cs="Arial" w:eastAsia="Arial" w:hAnsi="Arial"/>
                <w:sz w:val="16"/>
                <w:szCs w:val="16"/>
                <w:color w:val="auto"/>
              </w:rPr>
              <w:t>Segment earnings</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50,759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79,127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129,886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73,778</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76,074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149,852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84,060</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71,468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305,380</w:t>
            </w:r>
          </w:p>
        </w:tc>
        <w:tc>
          <w:tcPr>
            <w:tcW w:w="0" w:type="dxa"/>
            <w:vAlign w:val="bottom"/>
          </w:tcPr>
          <w:p>
            <w:pPr>
              <w:spacing w:after="0"/>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2880" w:type="dxa"/>
            <w:vAlign w:val="bottom"/>
            <w:gridSpan w:val="7"/>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Other depreciation and amortization </w:t>
            </w:r>
            <w:r>
              <w:rPr>
                <w:rFonts w:ascii="Arial" w:cs="Arial" w:eastAsia="Arial" w:hAnsi="Arial"/>
                <w:sz w:val="21"/>
                <w:szCs w:val="21"/>
                <w:color w:val="auto"/>
                <w:vertAlign w:val="superscript"/>
              </w:rPr>
              <w:t>1</w:t>
            </w: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7,275</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7,220</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14,495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6,624</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6,895</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13,519</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6,954</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7,084</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27,557</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80" w:type="dxa"/>
            <w:vAlign w:val="bottom"/>
            <w:gridSpan w:val="7"/>
          </w:tcPr>
          <w:p>
            <w:pPr>
              <w:spacing w:after="0" w:line="210" w:lineRule="exact"/>
              <w:rPr>
                <w:sz w:val="20"/>
                <w:szCs w:val="20"/>
                <w:color w:val="auto"/>
              </w:rPr>
            </w:pPr>
            <w:r>
              <w:rPr>
                <w:rFonts w:ascii="Arial" w:cs="Arial" w:eastAsia="Arial" w:hAnsi="Arial"/>
                <w:sz w:val="16"/>
                <w:szCs w:val="16"/>
                <w:color w:val="auto"/>
              </w:rPr>
              <w:t xml:space="preserve">Adjusted segment EBITDA </w:t>
            </w:r>
            <w:r>
              <w:rPr>
                <w:rFonts w:ascii="Arial" w:cs="Arial" w:eastAsia="Arial" w:hAnsi="Arial"/>
                <w:sz w:val="21"/>
                <w:szCs w:val="21"/>
                <w:color w:val="auto"/>
                <w:vertAlign w:val="superscript"/>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58,034</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86,347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144,381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80,402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82,969</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163,371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91,014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78,552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332,937</w:t>
            </w:r>
          </w:p>
        </w:tc>
        <w:tc>
          <w:tcPr>
            <w:tcW w:w="0" w:type="dxa"/>
            <w:vAlign w:val="bottom"/>
          </w:tcPr>
          <w:p>
            <w:pPr>
              <w:spacing w:after="0"/>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2880" w:type="dxa"/>
            <w:vAlign w:val="bottom"/>
            <w:gridSpan w:val="7"/>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Adjusted segment EBITDA margin </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15.9 %</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18.5 %</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18.1 %</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19.1 %</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tcPr>
          <w:p>
            <w:pPr>
              <w:spacing w:after="0"/>
              <w:rPr>
                <w:sz w:val="15"/>
                <w:szCs w:val="15"/>
                <w:color w:val="auto"/>
              </w:rPr>
            </w:pPr>
          </w:p>
        </w:tc>
        <w:tc>
          <w:tcPr>
            <w:tcW w:w="2880" w:type="dxa"/>
            <w:vAlign w:val="bottom"/>
            <w:gridSpan w:val="7"/>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Total Segments: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2880" w:type="dxa"/>
            <w:vAlign w:val="bottom"/>
            <w:gridSpan w:val="7"/>
          </w:tcPr>
          <w:p>
            <w:pPr>
              <w:spacing w:after="0" w:line="216" w:lineRule="exact"/>
              <w:rPr>
                <w:sz w:val="20"/>
                <w:szCs w:val="20"/>
                <w:color w:val="auto"/>
              </w:rPr>
            </w:pPr>
            <w:r>
              <w:rPr>
                <w:rFonts w:ascii="Arial" w:cs="Arial" w:eastAsia="Arial" w:hAnsi="Arial"/>
                <w:sz w:val="16"/>
                <w:szCs w:val="16"/>
                <w:color w:val="auto"/>
              </w:rPr>
              <w:t xml:space="preserve">Total segment earnings </w:t>
            </w:r>
            <w:r>
              <w:rPr>
                <w:rFonts w:ascii="Arial" w:cs="Arial" w:eastAsia="Arial" w:hAnsi="Arial"/>
                <w:sz w:val="21"/>
                <w:szCs w:val="21"/>
                <w:color w:val="auto"/>
                <w:vertAlign w:val="superscript"/>
              </w:rPr>
              <w:t>2, 3</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413,099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480,913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894,012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415,217</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423,439</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838,656</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466,376</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463,294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1,768,326</w:t>
            </w:r>
          </w:p>
        </w:tc>
        <w:tc>
          <w:tcPr>
            <w:tcW w:w="0" w:type="dxa"/>
            <w:vAlign w:val="bottom"/>
          </w:tcPr>
          <w:p>
            <w:pPr>
              <w:spacing w:after="0"/>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2880" w:type="dxa"/>
            <w:vAlign w:val="bottom"/>
            <w:gridSpan w:val="7"/>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Other depreciation and amortization </w:t>
            </w:r>
            <w:r>
              <w:rPr>
                <w:rFonts w:ascii="Arial" w:cs="Arial" w:eastAsia="Arial" w:hAnsi="Arial"/>
                <w:sz w:val="21"/>
                <w:szCs w:val="21"/>
                <w:color w:val="auto"/>
                <w:vertAlign w:val="superscript"/>
              </w:rPr>
              <w:t>1</w:t>
            </w: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37,429</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37,098</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74,527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35,073</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37,090</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72,163</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37,970</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37,251</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147,384</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880" w:type="dxa"/>
            <w:vAlign w:val="bottom"/>
            <w:gridSpan w:val="7"/>
          </w:tcPr>
          <w:p>
            <w:pPr>
              <w:spacing w:after="0" w:line="210" w:lineRule="exact"/>
              <w:rPr>
                <w:sz w:val="20"/>
                <w:szCs w:val="20"/>
                <w:color w:val="auto"/>
              </w:rPr>
            </w:pPr>
            <w:r>
              <w:rPr>
                <w:rFonts w:ascii="Arial" w:cs="Arial" w:eastAsia="Arial" w:hAnsi="Arial"/>
                <w:sz w:val="16"/>
                <w:szCs w:val="16"/>
                <w:color w:val="auto"/>
              </w:rPr>
              <w:t xml:space="preserve">Total Adjusted segment EBITDA </w:t>
            </w:r>
            <w:r>
              <w:rPr>
                <w:rFonts w:ascii="Arial" w:cs="Arial" w:eastAsia="Arial" w:hAnsi="Arial"/>
                <w:sz w:val="21"/>
                <w:szCs w:val="21"/>
                <w:color w:val="auto"/>
                <w:vertAlign w:val="superscript"/>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450,528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518,011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968,539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450,290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460,529</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910,819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504,346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500,545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1,915,710</w:t>
            </w:r>
          </w:p>
        </w:tc>
        <w:tc>
          <w:tcPr>
            <w:tcW w:w="0" w:type="dxa"/>
            <w:vAlign w:val="bottom"/>
          </w:tcPr>
          <w:p>
            <w:pPr>
              <w:spacing w:after="0"/>
              <w:rPr>
                <w:sz w:val="1"/>
                <w:szCs w:val="1"/>
                <w:color w:val="auto"/>
              </w:rPr>
            </w:pPr>
          </w:p>
        </w:tc>
      </w:tr>
      <w:tr>
        <w:trPr>
          <w:trHeight w:val="162"/>
        </w:trPr>
        <w:tc>
          <w:tcPr>
            <w:tcW w:w="40" w:type="dxa"/>
            <w:vAlign w:val="bottom"/>
            <w:tcBorders>
              <w:right w:val="single" w:sz="8" w:color="CCEEFF"/>
            </w:tcBorders>
          </w:tcPr>
          <w:p>
            <w:pPr>
              <w:spacing w:after="0"/>
              <w:rPr>
                <w:sz w:val="14"/>
                <w:szCs w:val="14"/>
                <w:color w:val="auto"/>
              </w:rPr>
            </w:pPr>
          </w:p>
        </w:tc>
        <w:tc>
          <w:tcPr>
            <w:tcW w:w="2880" w:type="dxa"/>
            <w:vAlign w:val="bottom"/>
            <w:gridSpan w:val="7"/>
            <w:shd w:val="clear" w:color="auto" w:fill="CCEEFF"/>
          </w:tcPr>
          <w:p>
            <w:pPr>
              <w:ind w:left="100"/>
              <w:spacing w:after="0" w:line="162" w:lineRule="exact"/>
              <w:rPr>
                <w:sz w:val="20"/>
                <w:szCs w:val="20"/>
                <w:color w:val="auto"/>
              </w:rPr>
            </w:pPr>
            <w:r>
              <w:rPr>
                <w:rFonts w:ascii="Arial" w:cs="Arial" w:eastAsia="Arial" w:hAnsi="Arial"/>
                <w:sz w:val="16"/>
                <w:szCs w:val="16"/>
                <w:color w:val="auto"/>
              </w:rPr>
              <w:t>Total Adjusted segment EBITDA</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21.5 %</w:t>
            </w: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23.8 %</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22.7 %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21.7 %</w:t>
            </w: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21.8 %</w:t>
            </w: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23.4 %</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23.8 %</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22.7 %</w:t>
            </w:r>
          </w:p>
        </w:tc>
        <w:tc>
          <w:tcPr>
            <w:tcW w:w="0" w:type="dxa"/>
            <w:vAlign w:val="bottom"/>
          </w:tcPr>
          <w:p>
            <w:pPr>
              <w:spacing w:after="0"/>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2880" w:type="dxa"/>
            <w:vAlign w:val="bottom"/>
            <w:gridSpan w:val="7"/>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0" w:right="20" w:hanging="1"/>
        <w:spacing w:after="0" w:line="212" w:lineRule="auto"/>
        <w:tabs>
          <w:tab w:leader="none" w:pos="141"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Other depreciation and amortization relates to property, plant, and equipment and intangibles, and excludes amounts related to purchase accounting expenses and restructuring and other costs.</w:t>
      </w:r>
    </w:p>
    <w:p>
      <w:pPr>
        <w:ind w:left="140" w:hanging="101"/>
        <w:spacing w:after="0" w:line="215" w:lineRule="auto"/>
        <w:tabs>
          <w:tab w:leader="none" w:pos="14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Refer to Non-GAAP Disclosures section for definition.</w:t>
      </w:r>
    </w:p>
    <w:p>
      <w:pPr>
        <w:ind w:left="140" w:hanging="101"/>
        <w:spacing w:after="0" w:line="215" w:lineRule="auto"/>
        <w:tabs>
          <w:tab w:leader="none" w:pos="14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Refer to Quarterly Segment Information section for reconciliation of total segment earnings to net earnings.</w:t>
      </w:r>
    </w:p>
    <w:p>
      <w:pPr>
        <w:spacing w:after="0" w:line="41" w:lineRule="exact"/>
        <w:rPr>
          <w:rFonts w:ascii="Arial" w:cs="Arial" w:eastAsia="Arial" w:hAnsi="Arial"/>
          <w:sz w:val="21"/>
          <w:szCs w:val="21"/>
          <w:color w:val="auto"/>
          <w:vertAlign w:val="superscript"/>
        </w:rPr>
      </w:pPr>
    </w:p>
    <w:p>
      <w:pPr>
        <w:ind w:left="5400"/>
        <w:spacing w:after="0"/>
        <w:rPr>
          <w:rFonts w:ascii="Arial" w:cs="Arial" w:eastAsia="Arial" w:hAnsi="Arial"/>
          <w:sz w:val="21"/>
          <w:szCs w:val="21"/>
          <w:color w:val="auto"/>
          <w:vertAlign w:val="superscript"/>
        </w:rPr>
      </w:pPr>
      <w:r>
        <w:rPr>
          <w:rFonts w:ascii="Arial" w:cs="Arial" w:eastAsia="Arial" w:hAnsi="Arial"/>
          <w:sz w:val="18"/>
          <w:szCs w:val="18"/>
          <w:color w:val="auto"/>
        </w:rPr>
        <w:t>IS - 5</w:t>
      </w:r>
    </w:p>
    <w:p>
      <w:pPr>
        <w:sectPr>
          <w:pgSz w:w="11900" w:h="16838" w:orient="portrait"/>
          <w:cols w:equalWidth="0" w:num="1">
            <w:col w:w="11220"/>
          </w:cols>
          <w:pgMar w:left="320" w:top="364" w:right="359" w:bottom="1440" w:gutter="0" w:footer="0" w:header="0"/>
        </w:sectPr>
      </w:pPr>
    </w:p>
    <w:bookmarkStart w:id="10" w:name="page11"/>
    <w:bookmarkEnd w:id="10"/>
    <w:p>
      <w:pPr>
        <w:ind w:left="494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QUARTERLY NET EARNINGS TO ADJUSTED SEGMENT EBITDA RECONCILIATION (NON-GAAP)</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(unaudited)(in thousands)</w:t>
      </w:r>
    </w:p>
    <w:tbl>
      <w:tblPr>
        <w:tblLayout w:type="fixed"/>
        <w:tblInd w:w="0" w:type="dxa"/>
        <w:tblCellMar>
          <w:top w:w="0" w:type="dxa"/>
          <w:left w:w="0" w:type="dxa"/>
          <w:bottom w:w="0" w:type="dxa"/>
          <w:right w:w="0" w:type="dxa"/>
        </w:tblCellMar>
      </w:tblPr>
      <w:tr>
        <w:trPr>
          <w:trHeight w:val="172"/>
        </w:trPr>
        <w:tc>
          <w:tcPr>
            <w:tcW w:w="2500" w:type="dxa"/>
            <w:vAlign w:val="bottom"/>
            <w:gridSpan w:val="3"/>
          </w:tcPr>
          <w:p>
            <w:pPr>
              <w:spacing w:after="0" w:line="172" w:lineRule="exact"/>
              <w:rPr>
                <w:sz w:val="20"/>
                <w:szCs w:val="20"/>
                <w:color w:val="auto"/>
              </w:rPr>
            </w:pPr>
            <w:r>
              <w:rPr>
                <w:rFonts w:ascii="Arial" w:cs="Arial" w:eastAsia="Arial" w:hAnsi="Arial"/>
                <w:sz w:val="16"/>
                <w:szCs w:val="16"/>
                <w:b w:val="1"/>
                <w:bCs w:val="1"/>
                <w:color w:val="auto"/>
              </w:rPr>
              <w:t>Non-GAAP Reconciliations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7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Q1</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Q2</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Q2 YTD</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Q1</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Q2</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Q2 YTD</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Q3</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Q4</w:t>
            </w: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FY 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632,221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281,822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914,043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228,574</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242,239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470,813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289,753</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296,262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$ 1,056,828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Provision for income taxes </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166,661</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71,467</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238,128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57,716</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57,784</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115,500</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64,709</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32,969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213,178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Earnings before provision for</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798,882</w:t>
            </w: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353,289</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1,152,171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286,290</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300,023</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586,313</w:t>
            </w:r>
          </w:p>
        </w:tc>
        <w:tc>
          <w:tcPr>
            <w:tcW w:w="2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354,462</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329,231</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1,270,006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(4,757)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(4,080)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(8,837)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(2,091)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(2,653)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(4,744)</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(3,808)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(4,944)</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36,365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68,739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33,804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68,018</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32,389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30,898</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Corporate expense / other </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42,317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41,380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83,697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40,072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33,922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73,994</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30,686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45,913</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150,593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Disposition costs </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(Gain) loss on disposition </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(529,943)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(529,280)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other costs </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36,274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32,196</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Purchase accounting expenses </w:t>
            </w:r>
            <w:r>
              <w:rPr>
                <w:rFonts w:ascii="Arial" w:cs="Arial" w:eastAsia="Arial" w:hAnsi="Arial"/>
                <w:sz w:val="21"/>
                <w:szCs w:val="21"/>
                <w:color w:val="auto"/>
                <w:vertAlign w:val="superscript"/>
              </w:rPr>
              <w:t>6</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45,551</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45,697</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91,248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42,679</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40,200</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82,879</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40,320</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41,744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164,943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Total segment earnings </w:t>
            </w:r>
            <w:r>
              <w:rPr>
                <w:rFonts w:ascii="Arial" w:cs="Arial" w:eastAsia="Arial" w:hAnsi="Arial"/>
                <w:sz w:val="21"/>
                <w:szCs w:val="21"/>
                <w:color w:val="auto"/>
                <w:vertAlign w:val="superscript"/>
              </w:rPr>
              <w:t>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413,099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480,913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894,012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415,217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423,439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838,656</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466,376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463,294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1,768,326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Add: Other depreciation and</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37,429</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37,098</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74,527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35,073</w:t>
            </w: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37,090</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72,163</w:t>
            </w:r>
          </w:p>
        </w:tc>
        <w:tc>
          <w:tcPr>
            <w:tcW w:w="2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37,970</w:t>
            </w: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37,251</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amortization </w:t>
            </w:r>
            <w:r>
              <w:rPr>
                <w:rFonts w:ascii="Arial" w:cs="Arial" w:eastAsia="Arial" w:hAnsi="Arial"/>
                <w:sz w:val="21"/>
                <w:szCs w:val="21"/>
                <w:color w:val="auto"/>
                <w:vertAlign w:val="superscript"/>
              </w:rPr>
              <w:t>8</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19"/>
                <w:szCs w:val="19"/>
                <w:color w:val="auto"/>
              </w:rPr>
            </w:pPr>
          </w:p>
        </w:tc>
        <w:tc>
          <w:tcPr>
            <w:tcW w:w="248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shd w:val="clear" w:color="auto" w:fill="CCEEFF"/>
              </w:rPr>
              <w:t xml:space="preserve">Total adjusted segment EBITDA </w:t>
            </w:r>
            <w:r>
              <w:rPr>
                <w:rFonts w:ascii="Arial" w:cs="Arial" w:eastAsia="Arial" w:hAnsi="Arial"/>
                <w:sz w:val="21"/>
                <w:szCs w:val="21"/>
                <w:color w:val="auto"/>
                <w:vertAlign w:val="superscript"/>
                <w:shd w:val="clear" w:color="auto" w:fill="CCEEFF"/>
              </w:rPr>
              <w:t>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shd w:val="clear" w:color="auto" w:fill="CCEEFF"/>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450,528</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shd w:val="clear" w:color="auto" w:fill="CCEEFF"/>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518,011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968,539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450,290</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shd w:val="clear" w:color="auto" w:fill="CCEEFF"/>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460,529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shd w:val="clear" w:color="auto" w:fill="CCEEFF"/>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910,819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shd w:val="clear" w:color="auto" w:fill="CCEEFF"/>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504,346</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shd w:val="clear" w:color="auto" w:fill="CCEEFF"/>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500,545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$ 1,915,710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140" w:hanging="101"/>
        <w:spacing w:after="0"/>
        <w:tabs>
          <w:tab w:leader="none" w:pos="14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Q4 and FY 2023 include the net income tax benefit of internal reorganizations executed in 2023.</w:t>
      </w:r>
    </w:p>
    <w:p>
      <w:pPr>
        <w:spacing w:after="0" w:line="55" w:lineRule="exact"/>
        <w:rPr>
          <w:sz w:val="20"/>
          <w:szCs w:val="20"/>
          <w:color w:val="auto"/>
        </w:rPr>
      </w:pPr>
    </w:p>
    <w:p>
      <w:pPr>
        <w:jc w:val="both"/>
        <w:ind w:left="40" w:right="20"/>
        <w:spacing w:after="0" w:line="206"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Certain expenses are maintained at the corporate level and not allocated to the segments. These expenses include executive and functional compensation costs, non-service pension costs, non-operating insurance expenses, shared business services and digital overhead costs, deal-related expenses and various administrative expenses relating to the corporate headquarters.</w:t>
      </w:r>
    </w:p>
    <w:p>
      <w:pPr>
        <w:spacing w:after="0" w:line="17" w:lineRule="exact"/>
        <w:rPr>
          <w:sz w:val="20"/>
          <w:szCs w:val="20"/>
          <w:color w:val="auto"/>
        </w:rPr>
      </w:pPr>
    </w:p>
    <w:p>
      <w:pPr>
        <w:ind w:left="140" w:hanging="101"/>
        <w:spacing w:after="0"/>
        <w:tabs>
          <w:tab w:leader="none" w:pos="14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Q4 and FY 2023 disposition costs relate to the sale of De-Sta-Co.</w:t>
      </w:r>
    </w:p>
    <w:p>
      <w:pPr>
        <w:spacing w:after="0" w:line="69" w:lineRule="exact"/>
        <w:rPr>
          <w:sz w:val="20"/>
          <w:szCs w:val="20"/>
          <w:color w:val="auto"/>
        </w:rPr>
      </w:pPr>
    </w:p>
    <w:p>
      <w:pPr>
        <w:ind w:left="140" w:hanging="101"/>
        <w:spacing w:after="0"/>
        <w:tabs>
          <w:tab w:leader="none" w:pos="14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(Gain) loss on disposition due to the sale of De-Sta-Co in the Engineered Products segment.</w:t>
      </w:r>
    </w:p>
    <w:p>
      <w:pPr>
        <w:spacing w:after="0" w:line="15" w:lineRule="exact"/>
        <w:rPr>
          <w:sz w:val="20"/>
          <w:szCs w:val="20"/>
          <w:color w:val="auto"/>
        </w:rPr>
      </w:pPr>
    </w:p>
    <w:p>
      <w:pPr>
        <w:ind w:left="40" w:right="20" w:hanging="1"/>
        <w:spacing w:after="0" w:line="204" w:lineRule="auto"/>
        <w:tabs>
          <w:tab w:leader="none" w:pos="148"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Restructuring and other costs relate to actions taken for headcount reductions, facility consolidations and site closures, product line exits, and other asset charges.</w:t>
      </w:r>
    </w:p>
    <w:p>
      <w:pPr>
        <w:spacing w:after="0" w:line="17" w:lineRule="exact"/>
        <w:rPr>
          <w:sz w:val="20"/>
          <w:szCs w:val="20"/>
          <w:color w:val="auto"/>
        </w:rPr>
      </w:pPr>
    </w:p>
    <w:p>
      <w:pPr>
        <w:ind w:left="140" w:hanging="101"/>
        <w:spacing w:after="0"/>
        <w:tabs>
          <w:tab w:leader="none" w:pos="14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Purchase accounting expenses are primarily comprised of amortization of acquired intangible assets.</w:t>
      </w:r>
    </w:p>
    <w:p>
      <w:pPr>
        <w:spacing w:after="0" w:line="17" w:lineRule="exact"/>
        <w:rPr>
          <w:rFonts w:ascii="Arial" w:cs="Arial" w:eastAsia="Arial" w:hAnsi="Arial"/>
          <w:sz w:val="21"/>
          <w:szCs w:val="21"/>
          <w:color w:val="auto"/>
          <w:vertAlign w:val="superscript"/>
        </w:rPr>
      </w:pPr>
    </w:p>
    <w:p>
      <w:pPr>
        <w:ind w:left="40"/>
        <w:spacing w:after="0" w:line="212"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7</w:t>
      </w:r>
      <w:r>
        <w:rPr>
          <w:rFonts w:ascii="Arial" w:cs="Arial" w:eastAsia="Arial" w:hAnsi="Arial"/>
          <w:sz w:val="16"/>
          <w:szCs w:val="16"/>
          <w:color w:val="auto"/>
        </w:rPr>
        <w:t xml:space="preserve"> Refer to Non-GAAP Disclosures section for definition.</w:t>
      </w:r>
    </w:p>
    <w:p>
      <w:pPr>
        <w:ind w:left="40" w:right="20" w:hanging="1"/>
        <w:spacing w:after="0" w:line="204" w:lineRule="auto"/>
        <w:tabs>
          <w:tab w:leader="none" w:pos="166"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Other depreciation and amortization relates to property, plant, and equipment and intangibles, and excludes amounts related to purchase accounting expenses and restructuring and other costs.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 - 6</w:t>
      </w:r>
    </w:p>
    <w:p>
      <w:pPr>
        <w:sectPr>
          <w:pgSz w:w="11900" w:h="16838" w:orient="portrait"/>
          <w:cols w:equalWidth="0" w:num="1">
            <w:col w:w="11220"/>
          </w:cols>
          <w:pgMar w:left="320" w:top="364"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GROWTH FACTORS AND ADJUSTED EPS GUIDANCE RECONCILIATIONS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(unaudited)(in thousands,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gridSpan w:val="5"/>
          </w:tcPr>
          <w:p>
            <w:pPr>
              <w:spacing w:after="0"/>
              <w:rPr>
                <w:sz w:val="20"/>
                <w:szCs w:val="20"/>
                <w:color w:val="auto"/>
              </w:rPr>
            </w:pPr>
            <w:r>
              <w:rPr>
                <w:rFonts w:ascii="Arial" w:cs="Arial" w:eastAsia="Arial" w:hAnsi="Arial"/>
                <w:sz w:val="16"/>
                <w:szCs w:val="16"/>
                <w:b w:val="1"/>
                <w:bCs w:val="1"/>
                <w:color w:val="auto"/>
              </w:rPr>
              <w:t>Non-GAAP Reconciliations</w:t>
            </w:r>
          </w:p>
        </w:tc>
        <w:tc>
          <w:tcPr>
            <w:tcW w:w="2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208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Revenue Growth Factors</w:t>
            </w:r>
          </w:p>
        </w:tc>
        <w:tc>
          <w:tcPr>
            <w:tcW w:w="4360" w:type="dxa"/>
            <w:vAlign w:val="bottom"/>
            <w:gridSpan w:val="2"/>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Borders>
              <w:top w:val="single" w:sz="8" w:color="auto"/>
            </w:tcBorders>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3680" w:type="dxa"/>
            <w:vAlign w:val="bottom"/>
            <w:gridSpan w:val="8"/>
          </w:tcPr>
          <w:p>
            <w:pPr>
              <w:jc w:val="right"/>
              <w:ind w:right="40"/>
              <w:spacing w:after="0"/>
              <w:rPr>
                <w:sz w:val="20"/>
                <w:szCs w:val="20"/>
                <w:color w:val="auto"/>
              </w:rPr>
            </w:pPr>
            <w:r>
              <w:rPr>
                <w:rFonts w:ascii="Arial" w:cs="Arial" w:eastAsia="Arial" w:hAnsi="Arial"/>
                <w:sz w:val="16"/>
                <w:szCs w:val="16"/>
                <w:b w:val="1"/>
                <w:bCs w:val="1"/>
                <w:color w:val="auto"/>
              </w:rPr>
              <w:t>2024</w:t>
            </w: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5"/>
          </w:tcPr>
          <w:p>
            <w:pPr>
              <w:ind w:left="520"/>
              <w:spacing w:after="0"/>
              <w:rPr>
                <w:sz w:val="20"/>
                <w:szCs w:val="20"/>
                <w:color w:val="auto"/>
              </w:rPr>
            </w:pPr>
            <w:r>
              <w:rPr>
                <w:rFonts w:ascii="Arial" w:cs="Arial" w:eastAsia="Arial" w:hAnsi="Arial"/>
                <w:sz w:val="16"/>
                <w:szCs w:val="16"/>
                <w:b w:val="1"/>
                <w:bCs w:val="1"/>
                <w:color w:val="auto"/>
              </w:rPr>
              <w:t>Q2</w:t>
            </w:r>
          </w:p>
        </w:tc>
        <w:tc>
          <w:tcPr>
            <w:tcW w:w="1120" w:type="dxa"/>
            <w:vAlign w:val="bottom"/>
            <w:tcBorders>
              <w:top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Q2 YTD</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64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Organic</w:t>
            </w:r>
          </w:p>
        </w:tc>
        <w:tc>
          <w:tcPr>
            <w:tcW w:w="2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gridSpan w:val="4"/>
          </w:tcPr>
          <w:p>
            <w:pPr>
              <w:ind w:left="440"/>
              <w:spacing w:after="0"/>
              <w:rPr>
                <w:sz w:val="20"/>
                <w:szCs w:val="20"/>
                <w:color w:val="auto"/>
              </w:rPr>
            </w:pPr>
            <w:r>
              <w:rPr>
                <w:rFonts w:ascii="Arial" w:cs="Arial" w:eastAsia="Arial" w:hAnsi="Arial"/>
                <w:sz w:val="16"/>
                <w:szCs w:val="16"/>
                <w:color w:val="auto"/>
              </w:rPr>
              <w:t>Engineered Products</w:t>
            </w:r>
          </w:p>
        </w:tc>
        <w:tc>
          <w:tcPr>
            <w:tcW w:w="3440" w:type="dxa"/>
            <w:vAlign w:val="bottom"/>
            <w:gridSpan w:val="4"/>
          </w:tcPr>
          <w:p>
            <w:pPr>
              <w:jc w:val="right"/>
              <w:spacing w:after="0"/>
              <w:rPr>
                <w:sz w:val="20"/>
                <w:szCs w:val="20"/>
                <w:color w:val="auto"/>
              </w:rPr>
            </w:pPr>
            <w:r>
              <w:rPr>
                <w:rFonts w:ascii="Arial" w:cs="Arial" w:eastAsia="Arial" w:hAnsi="Arial"/>
                <w:sz w:val="16"/>
                <w:szCs w:val="16"/>
                <w:color w:val="auto"/>
              </w:rPr>
              <w:t>20.2 %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14.6 %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420" w:type="dxa"/>
            <w:vAlign w:val="bottom"/>
            <w:gridSpan w:val="4"/>
            <w:shd w:val="clear" w:color="auto" w:fill="CCEEFF"/>
          </w:tcPr>
          <w:p>
            <w:pPr>
              <w:ind w:left="440"/>
              <w:spacing w:after="0"/>
              <w:rPr>
                <w:sz w:val="20"/>
                <w:szCs w:val="20"/>
                <w:color w:val="auto"/>
              </w:rPr>
            </w:pPr>
            <w:r>
              <w:rPr>
                <w:rFonts w:ascii="Arial" w:cs="Arial" w:eastAsia="Arial" w:hAnsi="Arial"/>
                <w:sz w:val="16"/>
                <w:szCs w:val="16"/>
                <w:color w:val="auto"/>
              </w:rPr>
              <w:t>Clean Energy &amp; Fueling</w:t>
            </w:r>
          </w:p>
        </w:tc>
        <w:tc>
          <w:tcPr>
            <w:tcW w:w="3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gridSpan w:val="4"/>
          </w:tcPr>
          <w:p>
            <w:pPr>
              <w:ind w:left="440"/>
              <w:spacing w:after="0"/>
              <w:rPr>
                <w:sz w:val="20"/>
                <w:szCs w:val="20"/>
                <w:color w:val="auto"/>
              </w:rPr>
            </w:pPr>
            <w:r>
              <w:rPr>
                <w:rFonts w:ascii="Arial" w:cs="Arial" w:eastAsia="Arial" w:hAnsi="Arial"/>
                <w:sz w:val="16"/>
                <w:szCs w:val="16"/>
                <w:color w:val="auto"/>
              </w:rPr>
              <w:t>Imaging &amp; Identification</w:t>
            </w:r>
          </w:p>
        </w:tc>
        <w:tc>
          <w:tcPr>
            <w:tcW w:w="3440" w:type="dxa"/>
            <w:vAlign w:val="bottom"/>
            <w:gridSpan w:val="4"/>
          </w:tcPr>
          <w:p>
            <w:pPr>
              <w:jc w:val="right"/>
              <w:spacing w:after="0"/>
              <w:rPr>
                <w:sz w:val="20"/>
                <w:szCs w:val="20"/>
                <w:color w:val="auto"/>
              </w:rPr>
            </w:pPr>
            <w:r>
              <w:rPr>
                <w:rFonts w:ascii="Arial" w:cs="Arial" w:eastAsia="Arial" w:hAnsi="Arial"/>
                <w:sz w:val="16"/>
                <w:szCs w:val="16"/>
                <w:color w:val="auto"/>
              </w:rPr>
              <w:t>6.9 %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420" w:type="dxa"/>
            <w:vAlign w:val="bottom"/>
            <w:gridSpan w:val="4"/>
            <w:shd w:val="clear" w:color="auto" w:fill="CCEEFF"/>
          </w:tcPr>
          <w:p>
            <w:pPr>
              <w:ind w:left="440"/>
              <w:spacing w:after="0"/>
              <w:rPr>
                <w:sz w:val="20"/>
                <w:szCs w:val="20"/>
                <w:color w:val="auto"/>
              </w:rPr>
            </w:pPr>
            <w:r>
              <w:rPr>
                <w:rFonts w:ascii="Arial" w:cs="Arial" w:eastAsia="Arial" w:hAnsi="Arial"/>
                <w:sz w:val="16"/>
                <w:szCs w:val="16"/>
                <w:color w:val="auto"/>
              </w:rPr>
              <w:t>Pumps &amp; Process Solutions</w:t>
            </w:r>
          </w:p>
        </w:tc>
        <w:tc>
          <w:tcPr>
            <w:tcW w:w="3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gridSpan w:val="4"/>
          </w:tcPr>
          <w:p>
            <w:pPr>
              <w:ind w:left="440"/>
              <w:spacing w:after="0"/>
              <w:rPr>
                <w:sz w:val="20"/>
                <w:szCs w:val="20"/>
                <w:color w:val="auto"/>
              </w:rPr>
            </w:pPr>
            <w:r>
              <w:rPr>
                <w:rFonts w:ascii="Arial" w:cs="Arial" w:eastAsia="Arial" w:hAnsi="Arial"/>
                <w:sz w:val="16"/>
                <w:szCs w:val="16"/>
                <w:color w:val="auto"/>
              </w:rPr>
              <w:t>Climate &amp; Sustainability Technologies</w:t>
            </w:r>
          </w:p>
        </w:tc>
        <w:tc>
          <w:tcPr>
            <w:tcW w:w="3440" w:type="dxa"/>
            <w:vAlign w:val="bottom"/>
            <w:gridSpan w:val="4"/>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64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Total Organic</w:t>
            </w:r>
          </w:p>
        </w:tc>
        <w:tc>
          <w:tcPr>
            <w:tcW w:w="2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gridSpan w:val="4"/>
          </w:tcPr>
          <w:p>
            <w:pPr>
              <w:spacing w:after="0"/>
              <w:rPr>
                <w:sz w:val="20"/>
                <w:szCs w:val="20"/>
                <w:color w:val="auto"/>
              </w:rPr>
            </w:pPr>
            <w:r>
              <w:rPr>
                <w:rFonts w:ascii="Arial" w:cs="Arial" w:eastAsia="Arial" w:hAnsi="Arial"/>
                <w:sz w:val="16"/>
                <w:szCs w:val="16"/>
                <w:color w:val="auto"/>
              </w:rPr>
              <w:t>Acquisitions</w:t>
            </w:r>
          </w:p>
        </w:tc>
        <w:tc>
          <w:tcPr>
            <w:tcW w:w="3440" w:type="dxa"/>
            <w:vAlign w:val="bottom"/>
            <w:gridSpan w:val="4"/>
          </w:tcPr>
          <w:p>
            <w:pPr>
              <w:jc w:val="right"/>
              <w:spacing w:after="0"/>
              <w:rPr>
                <w:sz w:val="20"/>
                <w:szCs w:val="20"/>
                <w:color w:val="auto"/>
              </w:rPr>
            </w:pPr>
            <w:r>
              <w:rPr>
                <w:rFonts w:ascii="Arial" w:cs="Arial" w:eastAsia="Arial" w:hAnsi="Arial"/>
                <w:sz w:val="16"/>
                <w:szCs w:val="16"/>
                <w:color w:val="auto"/>
              </w:rPr>
              <w:t>2.1 %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Dispositions</w:t>
            </w:r>
          </w:p>
        </w:tc>
        <w:tc>
          <w:tcPr>
            <w:tcW w:w="3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gridSpan w:val="4"/>
          </w:tcPr>
          <w:p>
            <w:pPr>
              <w:spacing w:after="0"/>
              <w:rPr>
                <w:sz w:val="20"/>
                <w:szCs w:val="20"/>
                <w:color w:val="auto"/>
              </w:rPr>
            </w:pPr>
            <w:r>
              <w:rPr>
                <w:rFonts w:ascii="Arial" w:cs="Arial" w:eastAsia="Arial" w:hAnsi="Arial"/>
                <w:sz w:val="16"/>
                <w:szCs w:val="16"/>
                <w:color w:val="auto"/>
              </w:rPr>
              <w:t>Currency translation</w:t>
            </w:r>
          </w:p>
        </w:tc>
        <w:tc>
          <w:tcPr>
            <w:tcW w:w="3440" w:type="dxa"/>
            <w:vAlign w:val="bottom"/>
            <w:gridSpan w:val="4"/>
          </w:tcPr>
          <w:p>
            <w:pPr>
              <w:jc w:val="right"/>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64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Total*</w:t>
            </w:r>
          </w:p>
        </w:tc>
        <w:tc>
          <w:tcPr>
            <w:tcW w:w="2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440" w:type="dxa"/>
            <w:vAlign w:val="bottom"/>
            <w:gridSpan w:val="5"/>
          </w:tcPr>
          <w:p>
            <w:pPr>
              <w:spacing w:after="0"/>
              <w:rPr>
                <w:sz w:val="20"/>
                <w:szCs w:val="20"/>
                <w:color w:val="auto"/>
              </w:rPr>
            </w:pPr>
            <w:r>
              <w:rPr>
                <w:rFonts w:ascii="Arial" w:cs="Arial" w:eastAsia="Arial" w:hAnsi="Arial"/>
                <w:sz w:val="14"/>
                <w:szCs w:val="14"/>
                <w:color w:val="auto"/>
              </w:rPr>
              <w:t>* Totals may be impacted by rounding.</w:t>
            </w:r>
          </w:p>
        </w:tc>
        <w:tc>
          <w:tcPr>
            <w:tcW w:w="2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680" w:type="dxa"/>
            <w:vAlign w:val="bottom"/>
            <w:gridSpan w:val="8"/>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5"/>
          </w:tcPr>
          <w:p>
            <w:pPr>
              <w:ind w:left="520"/>
              <w:spacing w:after="0"/>
              <w:rPr>
                <w:sz w:val="20"/>
                <w:szCs w:val="20"/>
                <w:color w:val="auto"/>
              </w:rPr>
            </w:pPr>
            <w:r>
              <w:rPr>
                <w:rFonts w:ascii="Arial" w:cs="Arial" w:eastAsia="Arial" w:hAnsi="Arial"/>
                <w:sz w:val="16"/>
                <w:szCs w:val="16"/>
                <w:b w:val="1"/>
                <w:bCs w:val="1"/>
                <w:color w:val="auto"/>
              </w:rPr>
              <w:t>Q2</w:t>
            </w:r>
          </w:p>
        </w:tc>
        <w:tc>
          <w:tcPr>
            <w:tcW w:w="11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Q2 YTD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Organic</w:t>
            </w:r>
          </w:p>
        </w:tc>
        <w:tc>
          <w:tcPr>
            <w:tcW w:w="2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gridSpan w:val="4"/>
          </w:tcPr>
          <w:p>
            <w:pPr>
              <w:ind w:left="460"/>
              <w:spacing w:after="0"/>
              <w:rPr>
                <w:sz w:val="20"/>
                <w:szCs w:val="20"/>
                <w:color w:val="auto"/>
              </w:rPr>
            </w:pPr>
            <w:r>
              <w:rPr>
                <w:rFonts w:ascii="Arial" w:cs="Arial" w:eastAsia="Arial" w:hAnsi="Arial"/>
                <w:sz w:val="16"/>
                <w:szCs w:val="16"/>
                <w:color w:val="auto"/>
              </w:rPr>
              <w:t>United States</w:t>
            </w:r>
          </w:p>
        </w:tc>
        <w:tc>
          <w:tcPr>
            <w:tcW w:w="3440" w:type="dxa"/>
            <w:vAlign w:val="bottom"/>
            <w:gridSpan w:val="4"/>
          </w:tcPr>
          <w:p>
            <w:pPr>
              <w:jc w:val="right"/>
              <w:spacing w:after="0"/>
              <w:rPr>
                <w:sz w:val="20"/>
                <w:szCs w:val="20"/>
                <w:color w:val="auto"/>
              </w:rPr>
            </w:pPr>
            <w:r>
              <w:rPr>
                <w:rFonts w:ascii="Arial" w:cs="Arial" w:eastAsia="Arial" w:hAnsi="Arial"/>
                <w:sz w:val="16"/>
                <w:szCs w:val="16"/>
                <w:color w:val="auto"/>
              </w:rPr>
              <w:t>11.4 %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6.3 %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20" w:type="dxa"/>
            <w:vAlign w:val="bottom"/>
            <w:gridSpan w:val="4"/>
            <w:shd w:val="clear" w:color="auto" w:fill="CCEEFF"/>
          </w:tcPr>
          <w:p>
            <w:pPr>
              <w:ind w:left="460"/>
              <w:spacing w:after="0"/>
              <w:rPr>
                <w:sz w:val="20"/>
                <w:szCs w:val="20"/>
                <w:color w:val="auto"/>
              </w:rPr>
            </w:pPr>
            <w:r>
              <w:rPr>
                <w:rFonts w:ascii="Arial" w:cs="Arial" w:eastAsia="Arial" w:hAnsi="Arial"/>
                <w:sz w:val="16"/>
                <w:szCs w:val="16"/>
                <w:color w:val="auto"/>
              </w:rPr>
              <w:t>Other Americas</w:t>
            </w:r>
          </w:p>
        </w:tc>
        <w:tc>
          <w:tcPr>
            <w:tcW w:w="3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17.6 %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gridSpan w:val="4"/>
          </w:tcPr>
          <w:p>
            <w:pPr>
              <w:ind w:left="460"/>
              <w:spacing w:after="0"/>
              <w:rPr>
                <w:sz w:val="20"/>
                <w:szCs w:val="20"/>
                <w:color w:val="auto"/>
              </w:rPr>
            </w:pPr>
            <w:r>
              <w:rPr>
                <w:rFonts w:ascii="Arial" w:cs="Arial" w:eastAsia="Arial" w:hAnsi="Arial"/>
                <w:sz w:val="16"/>
                <w:szCs w:val="16"/>
                <w:color w:val="auto"/>
              </w:rPr>
              <w:t>Europe</w:t>
            </w:r>
          </w:p>
        </w:tc>
        <w:tc>
          <w:tcPr>
            <w:tcW w:w="3440" w:type="dxa"/>
            <w:vAlign w:val="bottom"/>
            <w:gridSpan w:val="4"/>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20" w:type="dxa"/>
            <w:vAlign w:val="bottom"/>
            <w:gridSpan w:val="4"/>
            <w:shd w:val="clear" w:color="auto" w:fill="CCEEFF"/>
          </w:tcPr>
          <w:p>
            <w:pPr>
              <w:ind w:left="460"/>
              <w:spacing w:after="0"/>
              <w:rPr>
                <w:sz w:val="20"/>
                <w:szCs w:val="20"/>
                <w:color w:val="auto"/>
              </w:rPr>
            </w:pPr>
            <w:r>
              <w:rPr>
                <w:rFonts w:ascii="Arial" w:cs="Arial" w:eastAsia="Arial" w:hAnsi="Arial"/>
                <w:sz w:val="16"/>
                <w:szCs w:val="16"/>
                <w:color w:val="auto"/>
              </w:rPr>
              <w:t>Asia</w:t>
            </w:r>
          </w:p>
        </w:tc>
        <w:tc>
          <w:tcPr>
            <w:tcW w:w="3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gridSpan w:val="4"/>
          </w:tcPr>
          <w:p>
            <w:pPr>
              <w:ind w:left="460"/>
              <w:spacing w:after="0"/>
              <w:rPr>
                <w:sz w:val="20"/>
                <w:szCs w:val="20"/>
                <w:color w:val="auto"/>
              </w:rPr>
            </w:pPr>
            <w:r>
              <w:rPr>
                <w:rFonts w:ascii="Arial" w:cs="Arial" w:eastAsia="Arial" w:hAnsi="Arial"/>
                <w:sz w:val="16"/>
                <w:szCs w:val="16"/>
                <w:color w:val="auto"/>
              </w:rPr>
              <w:t>Other</w:t>
            </w:r>
          </w:p>
        </w:tc>
        <w:tc>
          <w:tcPr>
            <w:tcW w:w="3440" w:type="dxa"/>
            <w:vAlign w:val="bottom"/>
            <w:gridSpan w:val="4"/>
          </w:tcPr>
          <w:p>
            <w:pPr>
              <w:jc w:val="right"/>
              <w:spacing w:after="0"/>
              <w:rPr>
                <w:sz w:val="20"/>
                <w:szCs w:val="20"/>
                <w:color w:val="auto"/>
              </w:rPr>
            </w:pPr>
            <w:r>
              <w:rPr>
                <w:rFonts w:ascii="Arial" w:cs="Arial" w:eastAsia="Arial" w:hAnsi="Arial"/>
                <w:sz w:val="16"/>
                <w:szCs w:val="16"/>
                <w:color w:val="auto"/>
              </w:rPr>
              <w:t>(27.8)%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 Organic</w:t>
            </w:r>
          </w:p>
        </w:tc>
        <w:tc>
          <w:tcPr>
            <w:tcW w:w="2160" w:type="dxa"/>
            <w:vAlign w:val="bottom"/>
            <w:tcBorders>
              <w:top w:val="single" w:sz="8" w:color="CCEEFF"/>
            </w:tcBorders>
            <w:gridSpan w:val="2"/>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gridSpan w:val="4"/>
          </w:tcPr>
          <w:p>
            <w:pPr>
              <w:ind w:left="20"/>
              <w:spacing w:after="0"/>
              <w:rPr>
                <w:sz w:val="20"/>
                <w:szCs w:val="20"/>
                <w:color w:val="auto"/>
              </w:rPr>
            </w:pPr>
            <w:r>
              <w:rPr>
                <w:rFonts w:ascii="Arial" w:cs="Arial" w:eastAsia="Arial" w:hAnsi="Arial"/>
                <w:sz w:val="16"/>
                <w:szCs w:val="16"/>
                <w:color w:val="auto"/>
              </w:rPr>
              <w:t>Acquisitions</w:t>
            </w:r>
          </w:p>
        </w:tc>
        <w:tc>
          <w:tcPr>
            <w:tcW w:w="3440" w:type="dxa"/>
            <w:vAlign w:val="bottom"/>
            <w:gridSpan w:val="4"/>
          </w:tcPr>
          <w:p>
            <w:pPr>
              <w:jc w:val="right"/>
              <w:spacing w:after="0"/>
              <w:rPr>
                <w:sz w:val="20"/>
                <w:szCs w:val="20"/>
                <w:color w:val="auto"/>
              </w:rPr>
            </w:pPr>
            <w:r>
              <w:rPr>
                <w:rFonts w:ascii="Arial" w:cs="Arial" w:eastAsia="Arial" w:hAnsi="Arial"/>
                <w:sz w:val="16"/>
                <w:szCs w:val="16"/>
                <w:color w:val="auto"/>
              </w:rPr>
              <w:t>2.1 %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2.1 %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Dispositions</w:t>
            </w:r>
          </w:p>
        </w:tc>
        <w:tc>
          <w:tcPr>
            <w:tcW w:w="3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gridSpan w:val="4"/>
          </w:tcPr>
          <w:p>
            <w:pPr>
              <w:ind w:left="20"/>
              <w:spacing w:after="0"/>
              <w:rPr>
                <w:sz w:val="20"/>
                <w:szCs w:val="20"/>
                <w:color w:val="auto"/>
              </w:rPr>
            </w:pPr>
            <w:r>
              <w:rPr>
                <w:rFonts w:ascii="Arial" w:cs="Arial" w:eastAsia="Arial" w:hAnsi="Arial"/>
                <w:sz w:val="16"/>
                <w:szCs w:val="16"/>
                <w:color w:val="auto"/>
              </w:rPr>
              <w:t>Currency translation</w:t>
            </w:r>
          </w:p>
        </w:tc>
        <w:tc>
          <w:tcPr>
            <w:tcW w:w="3440" w:type="dxa"/>
            <w:vAlign w:val="bottom"/>
            <w:gridSpan w:val="4"/>
          </w:tcPr>
          <w:p>
            <w:pPr>
              <w:jc w:val="right"/>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160" w:type="dxa"/>
            <w:vAlign w:val="bottom"/>
            <w:tcBorders>
              <w:top w:val="single" w:sz="8" w:color="CCEEFF"/>
            </w:tcBorders>
            <w:gridSpan w:val="2"/>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440" w:type="dxa"/>
            <w:vAlign w:val="bottom"/>
            <w:gridSpan w:val="5"/>
          </w:tcPr>
          <w:p>
            <w:pPr>
              <w:spacing w:after="0"/>
              <w:rPr>
                <w:sz w:val="20"/>
                <w:szCs w:val="20"/>
                <w:color w:val="auto"/>
              </w:rPr>
            </w:pPr>
            <w:r>
              <w:rPr>
                <w:rFonts w:ascii="Arial" w:cs="Arial" w:eastAsia="Arial" w:hAnsi="Arial"/>
                <w:sz w:val="14"/>
                <w:szCs w:val="14"/>
                <w:color w:val="auto"/>
              </w:rPr>
              <w:t>* Totals may be impacted by rounding.</w:t>
            </w:r>
          </w:p>
        </w:tc>
        <w:tc>
          <w:tcPr>
            <w:tcW w:w="2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6420" w:type="dxa"/>
            <w:vAlign w:val="bottom"/>
            <w:gridSpan w:val="4"/>
          </w:tcPr>
          <w:p>
            <w:pPr>
              <w:spacing w:after="0"/>
              <w:rPr>
                <w:sz w:val="20"/>
                <w:szCs w:val="20"/>
                <w:color w:val="auto"/>
              </w:rPr>
            </w:pPr>
            <w:r>
              <w:rPr>
                <w:rFonts w:ascii="Arial" w:cs="Arial" w:eastAsia="Arial" w:hAnsi="Arial"/>
                <w:sz w:val="16"/>
                <w:szCs w:val="16"/>
                <w:b w:val="1"/>
                <w:bCs w:val="1"/>
                <w:color w:val="auto"/>
              </w:rPr>
              <w:t>Adjusted EPS Guidance Reconciliation</w:t>
            </w: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5"/>
            <w:vMerge w:val="restart"/>
          </w:tcPr>
          <w:p>
            <w:pPr>
              <w:ind w:left="540"/>
              <w:spacing w:after="0"/>
              <w:rPr>
                <w:sz w:val="20"/>
                <w:szCs w:val="20"/>
                <w:color w:val="auto"/>
              </w:rPr>
            </w:pPr>
            <w:r>
              <w:rPr>
                <w:rFonts w:ascii="Arial" w:cs="Arial" w:eastAsia="Arial" w:hAnsi="Arial"/>
                <w:sz w:val="16"/>
                <w:szCs w:val="16"/>
                <w:b w:val="1"/>
                <w:bCs w:val="1"/>
                <w:color w:val="auto"/>
              </w:rPr>
              <w:t>Range</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4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5"/>
            <w:vMerge w:val="continue"/>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2024 Guidance for Earnings per Share (GAAP)</w:t>
            </w:r>
          </w:p>
        </w:tc>
        <w:tc>
          <w:tcPr>
            <w:tcW w:w="3440" w:type="dxa"/>
            <w:vAlign w:val="bottom"/>
            <w:gridSpan w:val="4"/>
            <w:shd w:val="clear" w:color="auto" w:fill="CCEEFF"/>
          </w:tcPr>
          <w:p>
            <w:pPr>
              <w:jc w:val="right"/>
              <w:ind w:right="1119"/>
              <w:spacing w:after="0"/>
              <w:rPr>
                <w:sz w:val="20"/>
                <w:szCs w:val="20"/>
                <w:color w:val="auto"/>
              </w:rPr>
            </w:pPr>
            <w:r>
              <w:rPr>
                <w:rFonts w:ascii="Arial" w:cs="Arial" w:eastAsia="Arial" w:hAnsi="Arial"/>
                <w:sz w:val="16"/>
                <w:szCs w:val="16"/>
                <w:b w:val="1"/>
                <w:bCs w:val="1"/>
                <w:color w:val="auto"/>
              </w:rPr>
              <w:t>$10.80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$10.95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gridSpan w:val="4"/>
          </w:tcPr>
          <w:p>
            <w:pPr>
              <w:spacing w:after="0"/>
              <w:rPr>
                <w:sz w:val="20"/>
                <w:szCs w:val="20"/>
                <w:color w:val="auto"/>
              </w:rPr>
            </w:pPr>
            <w:r>
              <w:rPr>
                <w:rFonts w:ascii="Arial" w:cs="Arial" w:eastAsia="Arial" w:hAnsi="Arial"/>
                <w:sz w:val="16"/>
                <w:szCs w:val="16"/>
                <w:color w:val="auto"/>
              </w:rPr>
              <w:t>Purchase accounting expenses, net</w:t>
            </w:r>
          </w:p>
        </w:tc>
        <w:tc>
          <w:tcPr>
            <w:tcW w:w="3440" w:type="dxa"/>
            <w:vAlign w:val="bottom"/>
            <w:gridSpan w:val="4"/>
          </w:tcPr>
          <w:p>
            <w:pPr>
              <w:jc w:val="right"/>
              <w:ind w:right="239"/>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Restructuring and other costs, net</w:t>
            </w:r>
          </w:p>
        </w:tc>
        <w:tc>
          <w:tcPr>
            <w:tcW w:w="3440" w:type="dxa"/>
            <w:vAlign w:val="bottom"/>
            <w:gridSpan w:val="4"/>
            <w:shd w:val="clear" w:color="auto" w:fill="CCEEFF"/>
          </w:tcPr>
          <w:p>
            <w:pPr>
              <w:jc w:val="right"/>
              <w:ind w:right="239"/>
              <w:spacing w:after="0"/>
              <w:rPr>
                <w:sz w:val="20"/>
                <w:szCs w:val="20"/>
                <w:color w:val="auto"/>
              </w:rPr>
            </w:pPr>
            <w:r>
              <w:rPr>
                <w:rFonts w:ascii="Arial" w:cs="Arial" w:eastAsia="Arial" w:hAnsi="Arial"/>
                <w:sz w:val="16"/>
                <w:szCs w:val="16"/>
                <w:color w:val="auto"/>
              </w:rPr>
              <w:t>0.24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gridSpan w:val="4"/>
          </w:tcPr>
          <w:p>
            <w:pPr>
              <w:spacing w:after="0"/>
              <w:rPr>
                <w:sz w:val="20"/>
                <w:szCs w:val="20"/>
                <w:color w:val="auto"/>
              </w:rPr>
            </w:pPr>
            <w:r>
              <w:rPr>
                <w:rFonts w:ascii="Arial" w:cs="Arial" w:eastAsia="Arial" w:hAnsi="Arial"/>
                <w:sz w:val="16"/>
                <w:szCs w:val="16"/>
                <w:color w:val="auto"/>
              </w:rPr>
              <w:t>Gain on disposition, net</w:t>
            </w:r>
          </w:p>
        </w:tc>
        <w:tc>
          <w:tcPr>
            <w:tcW w:w="3440" w:type="dxa"/>
            <w:vAlign w:val="bottom"/>
            <w:gridSpan w:val="4"/>
          </w:tcPr>
          <w:p>
            <w:pPr>
              <w:jc w:val="right"/>
              <w:ind w:right="179"/>
              <w:spacing w:after="0"/>
              <w:rPr>
                <w:sz w:val="20"/>
                <w:szCs w:val="20"/>
                <w:color w:val="auto"/>
              </w:rPr>
            </w:pPr>
            <w:r>
              <w:rPr>
                <w:rFonts w:ascii="Arial" w:cs="Arial" w:eastAsia="Arial" w:hAnsi="Arial"/>
                <w:sz w:val="16"/>
                <w:szCs w:val="16"/>
                <w:color w:val="auto"/>
              </w:rPr>
              <w:t>(3.00)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2024 Guidance for Adjusted Earnings per Share (Non-GAAP)</w:t>
            </w:r>
          </w:p>
        </w:tc>
        <w:tc>
          <w:tcPr>
            <w:tcW w:w="3440" w:type="dxa"/>
            <w:vAlign w:val="bottom"/>
            <w:gridSpan w:val="4"/>
            <w:shd w:val="clear" w:color="auto" w:fill="CCEEFF"/>
          </w:tcPr>
          <w:p>
            <w:pPr>
              <w:jc w:val="right"/>
              <w:ind w:right="1179"/>
              <w:spacing w:after="0"/>
              <w:rPr>
                <w:sz w:val="20"/>
                <w:szCs w:val="20"/>
                <w:color w:val="auto"/>
              </w:rPr>
            </w:pPr>
            <w:r>
              <w:rPr>
                <w:rFonts w:ascii="Arial" w:cs="Arial" w:eastAsia="Arial" w:hAnsi="Arial"/>
                <w:sz w:val="16"/>
                <w:szCs w:val="16"/>
                <w:b w:val="1"/>
                <w:bCs w:val="1"/>
                <w:color w:val="auto"/>
              </w:rPr>
              <w:t>$9.05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$9.20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 Per share data and totals may be impacted by rounding.</w:t>
      </w:r>
    </w:p>
    <w:p>
      <w:pPr>
        <w:jc w:val="center"/>
        <w:spacing w:after="0"/>
        <w:rPr>
          <w:sz w:val="20"/>
          <w:szCs w:val="20"/>
          <w:color w:val="auto"/>
        </w:rPr>
      </w:pPr>
      <w:r>
        <w:rPr>
          <w:rFonts w:ascii="Arial" w:cs="Arial" w:eastAsia="Arial" w:hAnsi="Arial"/>
          <w:sz w:val="18"/>
          <w:szCs w:val="18"/>
          <w:color w:val="auto"/>
        </w:rPr>
        <w:t>IS - 7</w:t>
      </w:r>
    </w:p>
    <w:p>
      <w:pPr>
        <w:sectPr>
          <w:pgSz w:w="11900" w:h="16838" w:orient="portrait"/>
          <w:cols w:equalWidth="0" w:num="1">
            <w:col w:w="11240"/>
          </w:cols>
          <w:pgMar w:left="320" w:top="36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CASH FLOW AND FREE CASH FLOW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(unaudited)(in thousands)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Quarterly Cash Flow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9"/>
        </w:trPr>
        <w:tc>
          <w:tcPr>
            <w:tcW w:w="25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Q1</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Q2</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Q2 YTD</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Q1</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Q2</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Q2 YTD</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Q3</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Q4</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FY 2023</w:t>
            </w:r>
          </w:p>
        </w:tc>
      </w:tr>
      <w:tr>
        <w:trPr>
          <w:trHeight w:val="19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Net Cash Flows Provided By (Used</w:t>
            </w:r>
          </w:p>
        </w:tc>
        <w:tc>
          <w:tcPr>
            <w:tcW w:w="9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In):</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250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960" w:type="dxa"/>
            <w:vAlign w:val="bottom"/>
          </w:tcPr>
          <w:p>
            <w:pPr>
              <w:jc w:val="right"/>
              <w:spacing w:after="0"/>
              <w:rPr>
                <w:sz w:val="20"/>
                <w:szCs w:val="20"/>
                <w:color w:val="auto"/>
              </w:rPr>
            </w:pPr>
            <w:r>
              <w:rPr>
                <w:rFonts w:ascii="Arial" w:cs="Arial" w:eastAsia="Arial" w:hAnsi="Arial"/>
                <w:sz w:val="16"/>
                <w:szCs w:val="16"/>
                <w:color w:val="auto"/>
              </w:rPr>
              <w:t>$  166,593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203,662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370,255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241,284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195,254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436,538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383,457</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center"/>
              <w:spacing w:after="0"/>
              <w:rPr>
                <w:sz w:val="20"/>
                <w:szCs w:val="20"/>
                <w:color w:val="auto"/>
              </w:rPr>
            </w:pPr>
            <w:r>
              <w:rPr>
                <w:rFonts w:ascii="Arial" w:cs="Arial" w:eastAsia="Arial" w:hAnsi="Arial"/>
                <w:sz w:val="16"/>
                <w:szCs w:val="16"/>
                <w:color w:val="auto"/>
              </w:rPr>
              <w:t>516,350</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$ 1,336,345</w:t>
            </w: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429,851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28,165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458,016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(43,556)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(42,454)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(86,010)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(50,243)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(590,377)</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(726,630)</w:t>
            </w:r>
          </w:p>
        </w:tc>
      </w:tr>
      <w:tr>
        <w:trPr>
          <w:trHeight w:val="223"/>
        </w:trPr>
        <w:tc>
          <w:tcPr>
            <w:tcW w:w="250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960" w:type="dxa"/>
            <w:vAlign w:val="bottom"/>
          </w:tcPr>
          <w:p>
            <w:pPr>
              <w:jc w:val="right"/>
              <w:spacing w:after="0"/>
              <w:rPr>
                <w:sz w:val="20"/>
                <w:szCs w:val="20"/>
                <w:color w:val="auto"/>
              </w:rPr>
            </w:pPr>
            <w:r>
              <w:rPr>
                <w:rFonts w:ascii="Arial" w:cs="Arial" w:eastAsia="Arial" w:hAnsi="Arial"/>
                <w:sz w:val="16"/>
                <w:szCs w:val="16"/>
                <w:color w:val="auto"/>
              </w:rPr>
              <w:t>(80,782)</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(830,657)</w:t>
            </w:r>
          </w:p>
        </w:tc>
        <w:tc>
          <w:tcPr>
            <w:tcW w:w="1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(911,439)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(306,565)</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(137,924)</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(444,489)</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(312,716)</w:t>
            </w:r>
          </w:p>
        </w:tc>
        <w:tc>
          <w:tcPr>
            <w:tcW w:w="1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189,149</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(568,056)</w:t>
            </w: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Quarterly Free Cash Flow (Non-GAAP)</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vMerge w:val="restart"/>
          </w:tcPr>
          <w:p>
            <w:pPr>
              <w:spacing w:after="0"/>
              <w:rPr>
                <w:sz w:val="20"/>
                <w:szCs w:val="20"/>
                <w:color w:val="auto"/>
              </w:rPr>
            </w:pPr>
            <w:r>
              <w:rPr>
                <w:rFonts w:ascii="Arial" w:cs="Arial" w:eastAsia="Arial" w:hAnsi="Arial"/>
                <w:sz w:val="16"/>
                <w:szCs w:val="16"/>
                <w:color w:val="auto"/>
              </w:rPr>
              <w:t>Cash flow from operating activities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Q1</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Q2</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Q2 YTD</w:t>
            </w:r>
          </w:p>
        </w:tc>
        <w:tc>
          <w:tcPr>
            <w:tcW w:w="0" w:type="dxa"/>
            <w:vAlign w:val="bottom"/>
          </w:tcPr>
          <w:p>
            <w:pPr>
              <w:spacing w:after="0"/>
              <w:rPr>
                <w:sz w:val="1"/>
                <w:szCs w:val="1"/>
                <w:color w:val="auto"/>
              </w:rPr>
            </w:pPr>
          </w:p>
        </w:tc>
      </w:tr>
      <w:tr>
        <w:trPr>
          <w:trHeight w:val="142"/>
        </w:trPr>
        <w:tc>
          <w:tcPr>
            <w:tcW w:w="2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line="108" w:lineRule="exact"/>
              <w:rPr>
                <w:sz w:val="20"/>
                <w:szCs w:val="20"/>
                <w:color w:val="auto"/>
              </w:rPr>
            </w:pPr>
            <w:r>
              <w:rPr>
                <w:rFonts w:ascii="Arial" w:cs="Arial" w:eastAsia="Arial" w:hAnsi="Arial"/>
                <w:sz w:val="11"/>
                <w:szCs w:val="11"/>
                <w:color w:val="auto"/>
              </w:rPr>
              <w:t>1</w:t>
            </w:r>
          </w:p>
        </w:tc>
        <w:tc>
          <w:tcPr>
            <w:tcW w:w="200" w:type="dxa"/>
            <w:vAlign w:val="bottom"/>
            <w:vMerge w:val="restart"/>
          </w:tcPr>
          <w:p>
            <w:pPr>
              <w:jc w:val="right"/>
              <w:ind w:right="19"/>
              <w:spacing w:after="0" w:line="161" w:lineRule="exact"/>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line="161" w:lineRule="exact"/>
              <w:rPr>
                <w:sz w:val="20"/>
                <w:szCs w:val="20"/>
                <w:color w:val="auto"/>
              </w:rPr>
            </w:pPr>
            <w:r>
              <w:rPr>
                <w:rFonts w:ascii="Arial" w:cs="Arial" w:eastAsia="Arial" w:hAnsi="Arial"/>
                <w:sz w:val="16"/>
                <w:szCs w:val="16"/>
                <w:color w:val="auto"/>
              </w:rPr>
              <w:t>166,593</w:t>
            </w:r>
          </w:p>
        </w:tc>
        <w:tc>
          <w:tcPr>
            <w:tcW w:w="200" w:type="dxa"/>
            <w:vAlign w:val="bottom"/>
            <w:vMerge w:val="restart"/>
          </w:tcPr>
          <w:p>
            <w:pPr>
              <w:jc w:val="right"/>
              <w:ind w:right="19"/>
              <w:spacing w:after="0" w:line="161" w:lineRule="exact"/>
              <w:rPr>
                <w:sz w:val="20"/>
                <w:szCs w:val="20"/>
                <w:color w:val="auto"/>
              </w:rPr>
            </w:pPr>
            <w:r>
              <w:rPr>
                <w:rFonts w:ascii="Arial" w:cs="Arial" w:eastAsia="Arial" w:hAnsi="Arial"/>
                <w:sz w:val="16"/>
                <w:szCs w:val="16"/>
                <w:color w:val="auto"/>
                <w:w w:val="89"/>
              </w:rPr>
              <w:t>$</w:t>
            </w:r>
          </w:p>
        </w:tc>
        <w:tc>
          <w:tcPr>
            <w:tcW w:w="760" w:type="dxa"/>
            <w:vAlign w:val="bottom"/>
            <w:vMerge w:val="restart"/>
          </w:tcPr>
          <w:p>
            <w:pPr>
              <w:ind w:left="100"/>
              <w:spacing w:after="0" w:line="161" w:lineRule="exact"/>
              <w:rPr>
                <w:sz w:val="20"/>
                <w:szCs w:val="20"/>
                <w:color w:val="auto"/>
              </w:rPr>
            </w:pPr>
            <w:r>
              <w:rPr>
                <w:rFonts w:ascii="Arial" w:cs="Arial" w:eastAsia="Arial" w:hAnsi="Arial"/>
                <w:sz w:val="16"/>
                <w:szCs w:val="16"/>
                <w:color w:val="auto"/>
              </w:rPr>
              <w:t>203,662</w:t>
            </w:r>
          </w:p>
        </w:tc>
        <w:tc>
          <w:tcPr>
            <w:tcW w:w="140" w:type="dxa"/>
            <w:vAlign w:val="bottom"/>
            <w:vMerge w:val="restart"/>
          </w:tcPr>
          <w:p>
            <w:pPr>
              <w:jc w:val="right"/>
              <w:spacing w:after="0" w:line="161" w:lineRule="exact"/>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spacing w:after="0" w:line="161" w:lineRule="exact"/>
              <w:rPr>
                <w:sz w:val="20"/>
                <w:szCs w:val="20"/>
                <w:color w:val="auto"/>
              </w:rPr>
            </w:pPr>
            <w:r>
              <w:rPr>
                <w:rFonts w:ascii="Arial" w:cs="Arial" w:eastAsia="Arial" w:hAnsi="Arial"/>
                <w:sz w:val="16"/>
                <w:szCs w:val="16"/>
                <w:b w:val="1"/>
                <w:bCs w:val="1"/>
                <w:color w:val="auto"/>
              </w:rPr>
              <w:t>370,255</w:t>
            </w:r>
          </w:p>
        </w:tc>
        <w:tc>
          <w:tcPr>
            <w:tcW w:w="0" w:type="dxa"/>
            <w:vAlign w:val="bottom"/>
          </w:tcPr>
          <w:p>
            <w:pPr>
              <w:spacing w:after="0"/>
              <w:rPr>
                <w:sz w:val="1"/>
                <w:szCs w:val="1"/>
                <w:color w:val="auto"/>
              </w:rPr>
            </w:pPr>
          </w:p>
        </w:tc>
      </w:tr>
      <w:tr>
        <w:trPr>
          <w:trHeight w:val="53"/>
        </w:trPr>
        <w:tc>
          <w:tcPr>
            <w:tcW w:w="25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500" w:type="dxa"/>
            <w:vAlign w:val="bottom"/>
          </w:tcPr>
          <w:p>
            <w:pPr>
              <w:spacing w:after="0"/>
              <w:rPr>
                <w:sz w:val="20"/>
                <w:szCs w:val="20"/>
                <w:color w:val="auto"/>
              </w:rPr>
            </w:pPr>
            <w:r>
              <w:rPr>
                <w:rFonts w:ascii="Arial" w:cs="Arial" w:eastAsia="Arial" w:hAnsi="Arial"/>
                <w:sz w:val="16"/>
                <w:szCs w:val="16"/>
                <w:color w:val="auto"/>
              </w:rPr>
              <w:t>Less: Capital expenditures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(44,475)</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(40,872)</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(85,347)</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20"/>
                <w:szCs w:val="20"/>
                <w:color w:val="auto"/>
              </w:rPr>
            </w:pPr>
            <w:r>
              <w:rPr>
                <w:rFonts w:ascii="Arial" w:cs="Arial" w:eastAsia="Arial" w:hAnsi="Arial"/>
                <w:sz w:val="16"/>
                <w:szCs w:val="16"/>
                <w:color w:val="auto"/>
              </w:rPr>
              <w:t>Free cash flow</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122,118</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162,790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284,908</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jc w:val="center"/>
        <w:ind w:right="13"/>
        <w:spacing w:after="0"/>
        <w:rPr>
          <w:sz w:val="20"/>
          <w:szCs w:val="20"/>
          <w:color w:val="auto"/>
        </w:rPr>
      </w:pP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36601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6" w:lineRule="exact"/>
        <w:rPr>
          <w:sz w:val="20"/>
          <w:szCs w:val="20"/>
          <w:color w:val="auto"/>
        </w:rPr>
      </w:pPr>
    </w:p>
    <w:p>
      <w:pPr>
        <w:ind w:left="347"/>
        <w:spacing w:after="0"/>
        <w:tabs>
          <w:tab w:leader="none" w:pos="1286" w:val="left"/>
          <w:tab w:leader="none" w:pos="2066" w:val="left"/>
          <w:tab w:leader="none" w:pos="3206" w:val="left"/>
          <w:tab w:leader="none" w:pos="4166" w:val="left"/>
          <w:tab w:leader="none" w:pos="4926" w:val="left"/>
        </w:tabs>
        <w:rPr>
          <w:sz w:val="20"/>
          <w:szCs w:val="20"/>
          <w:color w:val="auto"/>
        </w:rPr>
      </w:pPr>
      <w:r>
        <w:rPr>
          <w:rFonts w:ascii="Arial" w:cs="Arial" w:eastAsia="Arial" w:hAnsi="Arial"/>
          <w:sz w:val="16"/>
          <w:szCs w:val="16"/>
          <w:b w:val="1"/>
          <w:bCs w:val="1"/>
          <w:color w:val="auto"/>
        </w:rPr>
        <w:t>Q1</w:t>
      </w:r>
      <w:r>
        <w:rPr>
          <w:sz w:val="20"/>
          <w:szCs w:val="20"/>
          <w:color w:val="auto"/>
        </w:rPr>
        <w:tab/>
      </w:r>
      <w:r>
        <w:rPr>
          <w:rFonts w:ascii="Arial" w:cs="Arial" w:eastAsia="Arial" w:hAnsi="Arial"/>
          <w:sz w:val="16"/>
          <w:szCs w:val="16"/>
          <w:b w:val="1"/>
          <w:bCs w:val="1"/>
          <w:color w:val="auto"/>
        </w:rPr>
        <w:t>Q2</w:t>
      </w:r>
      <w:r>
        <w:rPr>
          <w:sz w:val="20"/>
          <w:szCs w:val="20"/>
          <w:color w:val="auto"/>
        </w:rPr>
        <w:tab/>
      </w:r>
      <w:r>
        <w:rPr>
          <w:rFonts w:ascii="Arial" w:cs="Arial" w:eastAsia="Arial" w:hAnsi="Arial"/>
          <w:sz w:val="16"/>
          <w:szCs w:val="16"/>
          <w:b w:val="1"/>
          <w:bCs w:val="1"/>
          <w:color w:val="auto"/>
        </w:rPr>
        <w:t>Q2 YTD</w:t>
      </w:r>
      <w:r>
        <w:rPr>
          <w:sz w:val="20"/>
          <w:szCs w:val="20"/>
          <w:color w:val="auto"/>
        </w:rPr>
        <w:tab/>
      </w:r>
      <w:r>
        <w:rPr>
          <w:rFonts w:ascii="Arial" w:cs="Arial" w:eastAsia="Arial" w:hAnsi="Arial"/>
          <w:sz w:val="16"/>
          <w:szCs w:val="16"/>
          <w:b w:val="1"/>
          <w:bCs w:val="1"/>
          <w:color w:val="auto"/>
        </w:rPr>
        <w:t>Q3</w:t>
      </w:r>
      <w:r>
        <w:rPr>
          <w:sz w:val="20"/>
          <w:szCs w:val="20"/>
          <w:color w:val="auto"/>
        </w:rPr>
        <w:tab/>
      </w:r>
      <w:r>
        <w:rPr>
          <w:rFonts w:ascii="Arial" w:cs="Arial" w:eastAsia="Arial" w:hAnsi="Arial"/>
          <w:sz w:val="16"/>
          <w:szCs w:val="16"/>
          <w:b w:val="1"/>
          <w:bCs w:val="1"/>
          <w:color w:val="auto"/>
        </w:rPr>
        <w:t>Q4</w:t>
      </w:r>
      <w:r>
        <w:rPr>
          <w:sz w:val="20"/>
          <w:szCs w:val="20"/>
          <w:color w:val="auto"/>
        </w:rPr>
        <w:tab/>
      </w:r>
      <w:r>
        <w:rPr>
          <w:rFonts w:ascii="Arial" w:cs="Arial" w:eastAsia="Arial" w:hAnsi="Arial"/>
          <w:sz w:val="16"/>
          <w:szCs w:val="16"/>
          <w:b w:val="1"/>
          <w:bCs w:val="1"/>
          <w:color w:val="auto"/>
        </w:rPr>
        <w:t>FY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-3482340</wp:posOffset>
            </wp:positionH>
            <wp:positionV relativeFrom="paragraph">
              <wp:posOffset>20955</wp:posOffset>
            </wp:positionV>
            <wp:extent cx="713232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20" w:lineRule="exact"/>
        <w:rPr>
          <w:sz w:val="20"/>
          <w:szCs w:val="20"/>
          <w:color w:val="auto"/>
        </w:rPr>
      </w:pPr>
    </w:p>
    <w:p>
      <w:pPr>
        <w:ind w:left="287" w:hanging="287"/>
        <w:spacing w:after="0"/>
        <w:tabs>
          <w:tab w:leader="none" w:pos="287"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241,284 $  195,254 </w:t>
      </w:r>
      <w:r>
        <w:rPr>
          <w:rFonts w:ascii="Arial" w:cs="Arial" w:eastAsia="Arial" w:hAnsi="Arial"/>
          <w:sz w:val="16"/>
          <w:szCs w:val="16"/>
          <w:b w:val="1"/>
          <w:bCs w:val="1"/>
          <w:color w:val="auto"/>
        </w:rPr>
        <w:t>$  436,538</w:t>
      </w:r>
      <w:r>
        <w:rPr>
          <w:rFonts w:ascii="Arial" w:cs="Arial" w:eastAsia="Arial" w:hAnsi="Arial"/>
          <w:sz w:val="16"/>
          <w:szCs w:val="16"/>
          <w:color w:val="auto"/>
        </w:rPr>
        <w:t xml:space="preserve"> $  383,457 $  516,350 </w:t>
      </w:r>
      <w:r>
        <w:rPr>
          <w:rFonts w:ascii="Arial" w:cs="Arial" w:eastAsia="Arial" w:hAnsi="Arial"/>
          <w:sz w:val="16"/>
          <w:szCs w:val="16"/>
          <w:b w:val="1"/>
          <w:bCs w:val="1"/>
          <w:color w:val="auto"/>
        </w:rPr>
        <w:t>$ 1,336,345</w:t>
      </w:r>
    </w:p>
    <w:p>
      <w:pPr>
        <w:spacing w:after="0" w:line="39" w:lineRule="exact"/>
        <w:rPr>
          <w:sz w:val="20"/>
          <w:szCs w:val="20"/>
          <w:color w:val="auto"/>
        </w:rPr>
      </w:pPr>
    </w:p>
    <w:p>
      <w:pPr>
        <w:ind w:left="307"/>
        <w:spacing w:after="0"/>
        <w:tabs>
          <w:tab w:leader="none" w:pos="1246" w:val="left"/>
          <w:tab w:leader="none" w:pos="2206" w:val="left"/>
          <w:tab w:leader="none" w:pos="3166" w:val="left"/>
          <w:tab w:leader="none" w:pos="4126" w:val="left"/>
          <w:tab w:leader="none" w:pos="5006" w:val="left"/>
        </w:tabs>
        <w:rPr>
          <w:sz w:val="20"/>
          <w:szCs w:val="20"/>
          <w:color w:val="auto"/>
        </w:rPr>
      </w:pPr>
      <w:r>
        <w:rPr>
          <w:rFonts w:ascii="Arial" w:cs="Arial" w:eastAsia="Arial" w:hAnsi="Arial"/>
          <w:sz w:val="16"/>
          <w:szCs w:val="16"/>
          <w:color w:val="auto"/>
        </w:rPr>
        <w:t>(48,375)</w:t>
      </w:r>
      <w:r>
        <w:rPr>
          <w:sz w:val="20"/>
          <w:szCs w:val="20"/>
          <w:color w:val="auto"/>
        </w:rPr>
        <w:tab/>
      </w:r>
      <w:r>
        <w:rPr>
          <w:rFonts w:ascii="Arial" w:cs="Arial" w:eastAsia="Arial" w:hAnsi="Arial"/>
          <w:sz w:val="16"/>
          <w:szCs w:val="16"/>
          <w:color w:val="auto"/>
        </w:rPr>
        <w:t>(40,079)</w:t>
      </w:r>
      <w:r>
        <w:rPr>
          <w:sz w:val="20"/>
          <w:szCs w:val="20"/>
          <w:color w:val="auto"/>
        </w:rPr>
        <w:tab/>
      </w:r>
      <w:r>
        <w:rPr>
          <w:rFonts w:ascii="Arial" w:cs="Arial" w:eastAsia="Arial" w:hAnsi="Arial"/>
          <w:sz w:val="16"/>
          <w:szCs w:val="16"/>
          <w:b w:val="1"/>
          <w:bCs w:val="1"/>
          <w:color w:val="auto"/>
        </w:rPr>
        <w:t>(88,454)</w:t>
      </w:r>
      <w:r>
        <w:rPr>
          <w:sz w:val="20"/>
          <w:szCs w:val="20"/>
          <w:color w:val="auto"/>
        </w:rPr>
        <w:tab/>
      </w:r>
      <w:r>
        <w:rPr>
          <w:rFonts w:ascii="Arial" w:cs="Arial" w:eastAsia="Arial" w:hAnsi="Arial"/>
          <w:sz w:val="16"/>
          <w:szCs w:val="16"/>
          <w:color w:val="auto"/>
        </w:rPr>
        <w:t>(43,128)</w:t>
      </w:r>
      <w:r>
        <w:rPr>
          <w:sz w:val="20"/>
          <w:szCs w:val="20"/>
          <w:color w:val="auto"/>
        </w:rPr>
        <w:tab/>
      </w:r>
      <w:r>
        <w:rPr>
          <w:rFonts w:ascii="Arial" w:cs="Arial" w:eastAsia="Arial" w:hAnsi="Arial"/>
          <w:sz w:val="16"/>
          <w:szCs w:val="16"/>
          <w:color w:val="auto"/>
        </w:rPr>
        <w:t>(61,010)</w:t>
      </w:r>
      <w:r>
        <w:rPr>
          <w:sz w:val="20"/>
          <w:szCs w:val="20"/>
          <w:color w:val="auto"/>
        </w:rPr>
        <w:tab/>
      </w:r>
      <w:r>
        <w:rPr>
          <w:rFonts w:ascii="Arial" w:cs="Arial" w:eastAsia="Arial" w:hAnsi="Arial"/>
          <w:sz w:val="16"/>
          <w:szCs w:val="16"/>
          <w:b w:val="1"/>
          <w:bCs w:val="1"/>
          <w:color w:val="auto"/>
        </w:rPr>
        <w:t>(192,592)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-3482340</wp:posOffset>
            </wp:positionH>
            <wp:positionV relativeFrom="paragraph">
              <wp:posOffset>16510</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 w:lineRule="exact"/>
        <w:rPr>
          <w:sz w:val="20"/>
          <w:szCs w:val="20"/>
          <w:color w:val="auto"/>
        </w:rPr>
      </w:pPr>
    </w:p>
    <w:p>
      <w:pPr>
        <w:ind w:left="7"/>
        <w:spacing w:after="0"/>
        <w:tabs>
          <w:tab w:leader="none" w:pos="266" w:val="left"/>
          <w:tab w:leader="none" w:pos="1226" w:val="left"/>
          <w:tab w:leader="none" w:pos="2186" w:val="left"/>
          <w:tab w:leader="none" w:pos="3146" w:val="left"/>
          <w:tab w:leader="none" w:pos="4106" w:val="left"/>
        </w:tabs>
        <w:rPr>
          <w:sz w:val="20"/>
          <w:szCs w:val="20"/>
          <w:color w:val="auto"/>
        </w:rPr>
      </w:pPr>
      <w:r>
        <w:rPr>
          <w:rFonts w:ascii="Arial" w:cs="Arial" w:eastAsia="Arial" w:hAnsi="Arial"/>
          <w:sz w:val="16"/>
          <w:szCs w:val="16"/>
          <w:color w:val="auto"/>
        </w:rPr>
        <w:t>$</w:t>
        <w:tab/>
        <w:t>192,909 $</w:t>
        <w:tab/>
        <w:t xml:space="preserve">155,175 </w:t>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 xml:space="preserve">348,084 </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340,329 $</w:t>
        <w:tab/>
        <w:t xml:space="preserve">455,340 </w:t>
      </w:r>
      <w:r>
        <w:rPr>
          <w:rFonts w:ascii="Arial" w:cs="Arial" w:eastAsia="Arial" w:hAnsi="Arial"/>
          <w:sz w:val="16"/>
          <w:szCs w:val="16"/>
          <w:b w:val="1"/>
          <w:bCs w:val="1"/>
          <w:color w:val="auto"/>
        </w:rPr>
        <w:t>$ 1,143,753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36601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5400" w:space="93"/>
            <w:col w:w="5747"/>
          </w:cols>
          <w:pgMar w:left="320" w:top="364" w:right="3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operating activities</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8.0 %</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9.3 %</w:t>
            </w:r>
          </w:p>
        </w:tc>
        <w:tc>
          <w:tcPr>
            <w:tcW w:w="100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8.7 %</w:t>
            </w:r>
          </w:p>
        </w:tc>
        <w:tc>
          <w:tcPr>
            <w:tcW w:w="10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11.6 %</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9.3 %</w:t>
            </w:r>
          </w:p>
        </w:tc>
        <w:tc>
          <w:tcPr>
            <w:tcW w:w="9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10.4 %</w:t>
            </w:r>
          </w:p>
        </w:tc>
        <w:tc>
          <w:tcPr>
            <w:tcW w:w="9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17.8 %</w:t>
            </w:r>
          </w:p>
        </w:tc>
        <w:tc>
          <w:tcPr>
            <w:tcW w:w="9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24.5 %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15.8 %</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a percentage of revenue</w:t>
            </w:r>
          </w:p>
        </w:tc>
        <w:tc>
          <w:tcPr>
            <w:tcW w:w="9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Cash flow from operating activities</w:t>
            </w:r>
          </w:p>
        </w:tc>
        <w:tc>
          <w:tcPr>
            <w:tcW w:w="9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as a percentage of adjusted net</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61.1 %</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62.3 %</w:t>
            </w:r>
          </w:p>
        </w:tc>
        <w:tc>
          <w:tcPr>
            <w:tcW w:w="100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61.7 %</w:t>
            </w:r>
          </w:p>
        </w:tc>
        <w:tc>
          <w:tcPr>
            <w:tcW w:w="10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88.5 %</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67.8 %</w:t>
            </w:r>
          </w:p>
        </w:tc>
        <w:tc>
          <w:tcPr>
            <w:tcW w:w="9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77.9 %</w:t>
            </w:r>
          </w:p>
        </w:tc>
        <w:tc>
          <w:tcPr>
            <w:tcW w:w="9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115.9 %</w:t>
            </w:r>
          </w:p>
        </w:tc>
        <w:tc>
          <w:tcPr>
            <w:tcW w:w="9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149.6 %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108.1 %</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w:t>
            </w:r>
          </w:p>
        </w:tc>
        <w:tc>
          <w:tcPr>
            <w:tcW w:w="9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Free cash flow as a percentage of</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5.8 %</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7.5 %</w:t>
            </w:r>
          </w:p>
        </w:tc>
        <w:tc>
          <w:tcPr>
            <w:tcW w:w="100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6.7 %</w:t>
            </w:r>
          </w:p>
        </w:tc>
        <w:tc>
          <w:tcPr>
            <w:tcW w:w="10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9.3 %</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7.4 %</w:t>
            </w:r>
          </w:p>
        </w:tc>
        <w:tc>
          <w:tcPr>
            <w:tcW w:w="9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8.3 %</w:t>
            </w:r>
          </w:p>
        </w:tc>
        <w:tc>
          <w:tcPr>
            <w:tcW w:w="9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15.8 %</w:t>
            </w:r>
          </w:p>
        </w:tc>
        <w:tc>
          <w:tcPr>
            <w:tcW w:w="9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21.6 %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13.6 %</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Free cash flow as a percentage of</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44.8 %</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49.8 %</w:t>
            </w:r>
          </w:p>
        </w:tc>
        <w:tc>
          <w:tcPr>
            <w:tcW w:w="100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47.5 %</w:t>
            </w:r>
          </w:p>
        </w:tc>
        <w:tc>
          <w:tcPr>
            <w:tcW w:w="10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70.7 %</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53.9 %</w:t>
            </w:r>
          </w:p>
        </w:tc>
        <w:tc>
          <w:tcPr>
            <w:tcW w:w="9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62.1 %</w:t>
            </w:r>
          </w:p>
        </w:tc>
        <w:tc>
          <w:tcPr>
            <w:tcW w:w="9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102.9 %</w:t>
            </w:r>
          </w:p>
        </w:tc>
        <w:tc>
          <w:tcPr>
            <w:tcW w:w="9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132.0 %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92.5 %</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earnings</w:t>
            </w:r>
          </w:p>
        </w:tc>
        <w:tc>
          <w:tcPr>
            <w:tcW w:w="9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right="180" w:firstLine="6"/>
        <w:spacing w:after="0" w:line="212" w:lineRule="auto"/>
        <w:tabs>
          <w:tab w:leader="none" w:pos="123"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Q2 and Q2 YTD 2024 include income tax payments of $56 million related to the gain on the disposition of De-Sta-Co. The remainder of the tax payments on the De-Sta-Co gain will be paid in quarterly installments throughout 2024.</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 - 8</w:t>
      </w:r>
    </w:p>
    <w:p>
      <w:pPr>
        <w:sectPr>
          <w:pgSz w:w="11900" w:h="16838" w:orient="portrait"/>
          <w:cols w:equalWidth="0" w:num="1">
            <w:col w:w="11240"/>
          </w:cols>
          <w:pgMar w:left="320" w:top="364" w:right="339" w:bottom="1440" w:gutter="0" w:footer="0" w:header="0"/>
          <w:type w:val="continuous"/>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PERFORMANCE MEASURES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(unaudited)(in thousands)</w:t>
      </w:r>
    </w:p>
    <w:p>
      <w:pPr>
        <w:spacing w:after="0" w:line="36" w:lineRule="exact"/>
        <w:rPr>
          <w:sz w:val="20"/>
          <w:szCs w:val="20"/>
          <w:color w:val="auto"/>
        </w:rPr>
      </w:pPr>
    </w:p>
    <w:tbl>
      <w:tblPr>
        <w:tblLayout w:type="fixed"/>
        <w:tblInd w:w="2520" w:type="dxa"/>
        <w:tblCellMar>
          <w:top w:w="0" w:type="dxa"/>
          <w:left w:w="0" w:type="dxa"/>
          <w:bottom w:w="0" w:type="dxa"/>
          <w:right w:w="0" w:type="dxa"/>
        </w:tblCellMar>
      </w:tblPr>
      <w:tr>
        <w:trPr>
          <w:trHeight w:val="217"/>
        </w:trPr>
        <w:tc>
          <w:tcPr>
            <w:tcW w:w="9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w w:val="95"/>
              </w:rPr>
              <w:t>2023</w:t>
            </w:r>
          </w:p>
        </w:tc>
        <w:tc>
          <w:tcPr>
            <w:tcW w:w="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6"/>
        </w:trPr>
        <w:tc>
          <w:tcPr>
            <w:tcW w:w="920" w:type="dxa"/>
            <w:vAlign w:val="bottom"/>
          </w:tcPr>
          <w:p>
            <w:pPr>
              <w:ind w:left="360"/>
              <w:spacing w:after="0"/>
              <w:rPr>
                <w:sz w:val="20"/>
                <w:szCs w:val="20"/>
                <w:color w:val="auto"/>
              </w:rPr>
            </w:pPr>
            <w:r>
              <w:rPr>
                <w:rFonts w:ascii="Arial" w:cs="Arial" w:eastAsia="Arial" w:hAnsi="Arial"/>
                <w:sz w:val="16"/>
                <w:szCs w:val="16"/>
                <w:b w:val="1"/>
                <w:bCs w:val="1"/>
                <w:color w:val="auto"/>
              </w:rPr>
              <w:t>Q1</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Q2</w:t>
            </w:r>
          </w:p>
        </w:tc>
        <w:tc>
          <w:tcPr>
            <w:tcW w:w="1000" w:type="dxa"/>
            <w:vAlign w:val="bottom"/>
          </w:tcPr>
          <w:p>
            <w:pPr>
              <w:ind w:left="240"/>
              <w:spacing w:after="0"/>
              <w:rPr>
                <w:sz w:val="20"/>
                <w:szCs w:val="20"/>
                <w:color w:val="auto"/>
              </w:rPr>
            </w:pPr>
            <w:r>
              <w:rPr>
                <w:rFonts w:ascii="Arial" w:cs="Arial" w:eastAsia="Arial" w:hAnsi="Arial"/>
                <w:sz w:val="16"/>
                <w:szCs w:val="16"/>
                <w:b w:val="1"/>
                <w:bCs w:val="1"/>
                <w:color w:val="auto"/>
              </w:rPr>
              <w:t>Q2 YTD</w:t>
            </w:r>
          </w:p>
        </w:tc>
        <w:tc>
          <w:tcPr>
            <w:tcW w:w="8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6"/>
                <w:szCs w:val="16"/>
                <w:b w:val="1"/>
                <w:bCs w:val="1"/>
                <w:color w:val="auto"/>
              </w:rPr>
              <w:t>Q1</w:t>
            </w:r>
          </w:p>
        </w:tc>
        <w:tc>
          <w:tcPr>
            <w:tcW w:w="880" w:type="dxa"/>
            <w:vAlign w:val="bottom"/>
          </w:tcPr>
          <w:p>
            <w:pPr>
              <w:ind w:left="380"/>
              <w:spacing w:after="0"/>
              <w:rPr>
                <w:sz w:val="20"/>
                <w:szCs w:val="20"/>
                <w:color w:val="auto"/>
              </w:rPr>
            </w:pPr>
            <w:r>
              <w:rPr>
                <w:rFonts w:ascii="Arial" w:cs="Arial" w:eastAsia="Arial" w:hAnsi="Arial"/>
                <w:sz w:val="16"/>
                <w:szCs w:val="16"/>
                <w:b w:val="1"/>
                <w:bCs w:val="1"/>
                <w:color w:val="auto"/>
              </w:rPr>
              <w:t>Q2</w:t>
            </w:r>
          </w:p>
        </w:tc>
        <w:tc>
          <w:tcPr>
            <w:tcW w:w="860" w:type="dxa"/>
            <w:vAlign w:val="bottom"/>
          </w:tcPr>
          <w:p>
            <w:pPr>
              <w:ind w:left="280"/>
              <w:spacing w:after="0"/>
              <w:rPr>
                <w:sz w:val="20"/>
                <w:szCs w:val="20"/>
                <w:color w:val="auto"/>
              </w:rPr>
            </w:pPr>
            <w:r>
              <w:rPr>
                <w:rFonts w:ascii="Arial" w:cs="Arial" w:eastAsia="Arial" w:hAnsi="Arial"/>
                <w:sz w:val="16"/>
                <w:szCs w:val="16"/>
                <w:b w:val="1"/>
                <w:bCs w:val="1"/>
                <w:color w:val="auto"/>
                <w:w w:val="96"/>
              </w:rPr>
              <w:t>Q2 YTD</w:t>
            </w:r>
          </w:p>
        </w:tc>
        <w:tc>
          <w:tcPr>
            <w:tcW w:w="1140" w:type="dxa"/>
            <w:vAlign w:val="bottom"/>
          </w:tcPr>
          <w:p>
            <w:pPr>
              <w:jc w:val="right"/>
              <w:ind w:right="279"/>
              <w:spacing w:after="0"/>
              <w:rPr>
                <w:sz w:val="20"/>
                <w:szCs w:val="20"/>
                <w:color w:val="auto"/>
              </w:rPr>
            </w:pPr>
            <w:r>
              <w:rPr>
                <w:rFonts w:ascii="Arial" w:cs="Arial" w:eastAsia="Arial" w:hAnsi="Arial"/>
                <w:sz w:val="16"/>
                <w:szCs w:val="16"/>
                <w:b w:val="1"/>
                <w:bCs w:val="1"/>
                <w:color w:val="auto"/>
              </w:rPr>
              <w:t>Q3</w:t>
            </w:r>
          </w:p>
        </w:tc>
        <w:tc>
          <w:tcPr>
            <w:tcW w:w="860" w:type="dxa"/>
            <w:vAlign w:val="bottom"/>
          </w:tcPr>
          <w:p>
            <w:pPr>
              <w:ind w:left="380"/>
              <w:spacing w:after="0"/>
              <w:rPr>
                <w:sz w:val="20"/>
                <w:szCs w:val="20"/>
                <w:color w:val="auto"/>
              </w:rPr>
            </w:pPr>
            <w:r>
              <w:rPr>
                <w:rFonts w:ascii="Arial" w:cs="Arial" w:eastAsia="Arial" w:hAnsi="Arial"/>
                <w:sz w:val="16"/>
                <w:szCs w:val="16"/>
                <w:b w:val="1"/>
                <w:bCs w:val="1"/>
                <w:color w:val="auto"/>
              </w:rPr>
              <w:t>Q4</w:t>
            </w:r>
          </w:p>
        </w:tc>
        <w:tc>
          <w:tcPr>
            <w:tcW w:w="1060" w:type="dxa"/>
            <w:vAlign w:val="bottom"/>
          </w:tcPr>
          <w:p>
            <w:pPr>
              <w:ind w:left="280"/>
              <w:spacing w:after="0"/>
              <w:rPr>
                <w:sz w:val="20"/>
                <w:szCs w:val="20"/>
                <w:color w:val="auto"/>
              </w:rPr>
            </w:pPr>
            <w:r>
              <w:rPr>
                <w:rFonts w:ascii="Arial" w:cs="Arial" w:eastAsia="Arial" w:hAnsi="Arial"/>
                <w:sz w:val="16"/>
                <w:szCs w:val="16"/>
                <w:b w:val="1"/>
                <w:bCs w:val="1"/>
                <w:color w:val="auto"/>
              </w:rPr>
              <w:t>FY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u w:val="single" w:color="auto"/>
          <w:color w:val="auto"/>
        </w:rPr>
        <w:t>BOOKINGS</w:t>
      </w:r>
    </w:p>
    <w:p>
      <w:pPr>
        <w:sectPr>
          <w:pgSz w:w="11900" w:h="16838" w:orient="portrait"/>
          <w:cols w:equalWidth="0" w:num="1">
            <w:col w:w="11220"/>
          </w:cols>
          <w:pgMar w:left="340" w:top="364" w:right="339" w:bottom="1440" w:gutter="0" w:footer="0" w:header="0"/>
        </w:sect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6"/>
                <w:szCs w:val="16"/>
                <w:color w:val="auto"/>
              </w:rPr>
              <w:t>Engineered Products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541,982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581,370</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$ 1,123,352</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6"/>
                <w:szCs w:val="16"/>
                <w:color w:val="auto"/>
              </w:rPr>
              <w:t>Clean Energy &amp; Fueling</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471,610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442,086</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913,696</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6"/>
                <w:szCs w:val="16"/>
                <w:color w:val="auto"/>
              </w:rPr>
              <w:t>Imaging &amp; Identification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278,433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288,641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567,074</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6"/>
                <w:szCs w:val="16"/>
                <w:color w:val="auto"/>
              </w:rPr>
              <w:t>Pumps &amp; Process Solutions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473,632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461,426</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935,058</w:t>
            </w:r>
          </w:p>
        </w:tc>
        <w:tc>
          <w:tcPr>
            <w:tcW w:w="0" w:type="dxa"/>
            <w:vAlign w:val="bottom"/>
          </w:tcPr>
          <w:p>
            <w:pPr>
              <w:spacing w:after="0"/>
              <w:rPr>
                <w:sz w:val="1"/>
                <w:szCs w:val="1"/>
                <w:color w:val="auto"/>
              </w:rPr>
            </w:pPr>
          </w:p>
        </w:tc>
      </w:tr>
      <w:tr>
        <w:trPr>
          <w:trHeight w:val="163"/>
        </w:trPr>
        <w:tc>
          <w:tcPr>
            <w:tcW w:w="2520" w:type="dxa"/>
            <w:vAlign w:val="bottom"/>
          </w:tcPr>
          <w:p>
            <w:pPr>
              <w:spacing w:after="0" w:line="163" w:lineRule="exact"/>
              <w:rPr>
                <w:sz w:val="20"/>
                <w:szCs w:val="20"/>
                <w:color w:val="auto"/>
              </w:rPr>
            </w:pPr>
            <w:r>
              <w:rPr>
                <w:rFonts w:ascii="Arial" w:cs="Arial" w:eastAsia="Arial" w:hAnsi="Arial"/>
                <w:sz w:val="16"/>
                <w:szCs w:val="16"/>
                <w:color w:val="auto"/>
              </w:rPr>
              <w:t>Climate &amp; Sustainability</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453,086</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406,269</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859,355</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6"/>
                <w:szCs w:val="16"/>
                <w:color w:val="auto"/>
              </w:rPr>
              <w:t>Technologies</w:t>
            </w: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20" w:type="dxa"/>
            <w:vAlign w:val="bottom"/>
          </w:tcPr>
          <w:p>
            <w:pPr>
              <w:spacing w:after="0"/>
              <w:rPr>
                <w:sz w:val="20"/>
                <w:szCs w:val="20"/>
                <w:color w:val="auto"/>
              </w:rPr>
            </w:pPr>
            <w:r>
              <w:rPr>
                <w:rFonts w:ascii="Arial" w:cs="Arial" w:eastAsia="Arial" w:hAnsi="Arial"/>
                <w:sz w:val="16"/>
                <w:szCs w:val="16"/>
                <w:color w:val="auto"/>
              </w:rPr>
              <w:t>Intersegment eliminations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(2,800)</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20"/>
                <w:szCs w:val="20"/>
                <w:color w:val="auto"/>
              </w:rPr>
            </w:pPr>
            <w:r>
              <w:rPr>
                <w:rFonts w:ascii="Arial" w:cs="Arial" w:eastAsia="Arial" w:hAnsi="Arial"/>
                <w:sz w:val="16"/>
                <w:szCs w:val="16"/>
                <w:color w:val="auto"/>
              </w:rPr>
              <w:t>Total consolidated bookings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2,217,636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2,178,099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$ 4,395,735</w:t>
            </w: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left="320" w:hanging="293"/>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536,472 $  489,131 </w:t>
      </w:r>
      <w:r>
        <w:rPr>
          <w:rFonts w:ascii="Arial" w:cs="Arial" w:eastAsia="Arial" w:hAnsi="Arial"/>
          <w:sz w:val="16"/>
          <w:szCs w:val="16"/>
          <w:b w:val="1"/>
          <w:bCs w:val="1"/>
          <w:color w:val="auto"/>
        </w:rPr>
        <w:t>$ 1,025,603</w:t>
      </w:r>
      <w:r>
        <w:rPr>
          <w:rFonts w:ascii="Arial" w:cs="Arial" w:eastAsia="Arial" w:hAnsi="Arial"/>
          <w:sz w:val="16"/>
          <w:szCs w:val="16"/>
          <w:color w:val="auto"/>
        </w:rPr>
        <w:t xml:space="preserve"> $  576,641 $  494,528 </w:t>
      </w:r>
      <w:r>
        <w:rPr>
          <w:rFonts w:ascii="Arial" w:cs="Arial" w:eastAsia="Arial" w:hAnsi="Arial"/>
          <w:sz w:val="16"/>
          <w:szCs w:val="16"/>
          <w:b w:val="1"/>
          <w:bCs w:val="1"/>
          <w:color w:val="auto"/>
        </w:rPr>
        <w:t>$ 2,096,772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-115570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60" w:type="dxa"/>
            <w:vAlign w:val="bottom"/>
          </w:tcPr>
          <w:p>
            <w:pPr>
              <w:jc w:val="right"/>
              <w:spacing w:after="0"/>
              <w:rPr>
                <w:sz w:val="20"/>
                <w:szCs w:val="20"/>
                <w:color w:val="auto"/>
              </w:rPr>
            </w:pPr>
            <w:r>
              <w:rPr>
                <w:rFonts w:ascii="Arial" w:cs="Arial" w:eastAsia="Arial" w:hAnsi="Arial"/>
                <w:sz w:val="16"/>
                <w:szCs w:val="16"/>
                <w:color w:val="auto"/>
              </w:rPr>
              <w:t>454,526</w:t>
            </w:r>
          </w:p>
        </w:tc>
        <w:tc>
          <w:tcPr>
            <w:tcW w:w="960" w:type="dxa"/>
            <w:vAlign w:val="bottom"/>
          </w:tcPr>
          <w:p>
            <w:pPr>
              <w:jc w:val="right"/>
              <w:spacing w:after="0"/>
              <w:rPr>
                <w:sz w:val="20"/>
                <w:szCs w:val="20"/>
                <w:color w:val="auto"/>
              </w:rPr>
            </w:pPr>
            <w:r>
              <w:rPr>
                <w:rFonts w:ascii="Arial" w:cs="Arial" w:eastAsia="Arial" w:hAnsi="Arial"/>
                <w:sz w:val="16"/>
                <w:szCs w:val="16"/>
                <w:color w:val="auto"/>
              </w:rPr>
              <w:t>440,137</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894,663</w:t>
            </w:r>
          </w:p>
        </w:tc>
        <w:tc>
          <w:tcPr>
            <w:tcW w:w="960" w:type="dxa"/>
            <w:vAlign w:val="bottom"/>
          </w:tcPr>
          <w:p>
            <w:pPr>
              <w:jc w:val="right"/>
              <w:spacing w:after="0"/>
              <w:rPr>
                <w:sz w:val="20"/>
                <w:szCs w:val="20"/>
                <w:color w:val="auto"/>
              </w:rPr>
            </w:pPr>
            <w:r>
              <w:rPr>
                <w:rFonts w:ascii="Arial" w:cs="Arial" w:eastAsia="Arial" w:hAnsi="Arial"/>
                <w:sz w:val="16"/>
                <w:szCs w:val="16"/>
                <w:color w:val="auto"/>
              </w:rPr>
              <w:t>449,663</w:t>
            </w:r>
          </w:p>
        </w:tc>
        <w:tc>
          <w:tcPr>
            <w:tcW w:w="960" w:type="dxa"/>
            <w:vAlign w:val="bottom"/>
          </w:tcPr>
          <w:p>
            <w:pPr>
              <w:jc w:val="right"/>
              <w:spacing w:after="0"/>
              <w:rPr>
                <w:sz w:val="20"/>
                <w:szCs w:val="20"/>
                <w:color w:val="auto"/>
              </w:rPr>
            </w:pPr>
            <w:r>
              <w:rPr>
                <w:rFonts w:ascii="Arial" w:cs="Arial" w:eastAsia="Arial" w:hAnsi="Arial"/>
                <w:sz w:val="16"/>
                <w:szCs w:val="16"/>
                <w:color w:val="auto"/>
              </w:rPr>
              <w:t>401,195</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1,745,521</w:t>
            </w: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290,712</w:t>
            </w:r>
          </w:p>
        </w:tc>
        <w:tc>
          <w:tcPr>
            <w:tcW w:w="960" w:type="dxa"/>
            <w:vAlign w:val="bottom"/>
          </w:tcPr>
          <w:p>
            <w:pPr>
              <w:jc w:val="right"/>
              <w:spacing w:after="0"/>
              <w:rPr>
                <w:sz w:val="20"/>
                <w:szCs w:val="20"/>
                <w:color w:val="auto"/>
              </w:rPr>
            </w:pPr>
            <w:r>
              <w:rPr>
                <w:rFonts w:ascii="Arial" w:cs="Arial" w:eastAsia="Arial" w:hAnsi="Arial"/>
                <w:sz w:val="16"/>
                <w:szCs w:val="16"/>
                <w:color w:val="auto"/>
              </w:rPr>
              <w:t>262,092</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552,804</w:t>
            </w:r>
          </w:p>
        </w:tc>
        <w:tc>
          <w:tcPr>
            <w:tcW w:w="960" w:type="dxa"/>
            <w:vAlign w:val="bottom"/>
          </w:tcPr>
          <w:p>
            <w:pPr>
              <w:jc w:val="right"/>
              <w:spacing w:after="0"/>
              <w:rPr>
                <w:sz w:val="20"/>
                <w:szCs w:val="20"/>
                <w:color w:val="auto"/>
              </w:rPr>
            </w:pPr>
            <w:r>
              <w:rPr>
                <w:rFonts w:ascii="Arial" w:cs="Arial" w:eastAsia="Arial" w:hAnsi="Arial"/>
                <w:sz w:val="16"/>
                <w:szCs w:val="16"/>
                <w:color w:val="auto"/>
              </w:rPr>
              <w:t>271,113</w:t>
            </w:r>
          </w:p>
        </w:tc>
        <w:tc>
          <w:tcPr>
            <w:tcW w:w="960" w:type="dxa"/>
            <w:vAlign w:val="bottom"/>
          </w:tcPr>
          <w:p>
            <w:pPr>
              <w:jc w:val="right"/>
              <w:spacing w:after="0"/>
              <w:rPr>
                <w:sz w:val="20"/>
                <w:szCs w:val="20"/>
                <w:color w:val="auto"/>
              </w:rPr>
            </w:pPr>
            <w:r>
              <w:rPr>
                <w:rFonts w:ascii="Arial" w:cs="Arial" w:eastAsia="Arial" w:hAnsi="Arial"/>
                <w:sz w:val="16"/>
                <w:szCs w:val="16"/>
                <w:color w:val="auto"/>
              </w:rPr>
              <w:t>297,312</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1,121,229</w:t>
            </w:r>
          </w:p>
        </w:tc>
      </w:tr>
      <w:tr>
        <w:trPr>
          <w:trHeight w:val="223"/>
        </w:trPr>
        <w:tc>
          <w:tcPr>
            <w:tcW w:w="960" w:type="dxa"/>
            <w:vAlign w:val="bottom"/>
          </w:tcPr>
          <w:p>
            <w:pPr>
              <w:jc w:val="right"/>
              <w:spacing w:after="0"/>
              <w:rPr>
                <w:sz w:val="20"/>
                <w:szCs w:val="20"/>
                <w:color w:val="auto"/>
              </w:rPr>
            </w:pPr>
            <w:r>
              <w:rPr>
                <w:rFonts w:ascii="Arial" w:cs="Arial" w:eastAsia="Arial" w:hAnsi="Arial"/>
                <w:sz w:val="16"/>
                <w:szCs w:val="16"/>
                <w:color w:val="auto"/>
              </w:rPr>
              <w:t>464,297</w:t>
            </w:r>
          </w:p>
        </w:tc>
        <w:tc>
          <w:tcPr>
            <w:tcW w:w="960" w:type="dxa"/>
            <w:vAlign w:val="bottom"/>
          </w:tcPr>
          <w:p>
            <w:pPr>
              <w:jc w:val="right"/>
              <w:spacing w:after="0"/>
              <w:rPr>
                <w:sz w:val="20"/>
                <w:szCs w:val="20"/>
                <w:color w:val="auto"/>
              </w:rPr>
            </w:pPr>
            <w:r>
              <w:rPr>
                <w:rFonts w:ascii="Arial" w:cs="Arial" w:eastAsia="Arial" w:hAnsi="Arial"/>
                <w:sz w:val="16"/>
                <w:szCs w:val="16"/>
                <w:color w:val="auto"/>
              </w:rPr>
              <w:t>394,317</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858,614</w:t>
            </w:r>
          </w:p>
        </w:tc>
        <w:tc>
          <w:tcPr>
            <w:tcW w:w="960" w:type="dxa"/>
            <w:vAlign w:val="bottom"/>
          </w:tcPr>
          <w:p>
            <w:pPr>
              <w:jc w:val="right"/>
              <w:spacing w:after="0"/>
              <w:rPr>
                <w:sz w:val="20"/>
                <w:szCs w:val="20"/>
                <w:color w:val="auto"/>
              </w:rPr>
            </w:pPr>
            <w:r>
              <w:rPr>
                <w:rFonts w:ascii="Arial" w:cs="Arial" w:eastAsia="Arial" w:hAnsi="Arial"/>
                <w:sz w:val="16"/>
                <w:szCs w:val="16"/>
                <w:color w:val="auto"/>
              </w:rPr>
              <w:t>363,111</w:t>
            </w:r>
          </w:p>
        </w:tc>
        <w:tc>
          <w:tcPr>
            <w:tcW w:w="960" w:type="dxa"/>
            <w:vAlign w:val="bottom"/>
          </w:tcPr>
          <w:p>
            <w:pPr>
              <w:jc w:val="right"/>
              <w:spacing w:after="0"/>
              <w:rPr>
                <w:sz w:val="20"/>
                <w:szCs w:val="20"/>
                <w:color w:val="auto"/>
              </w:rPr>
            </w:pPr>
            <w:r>
              <w:rPr>
                <w:rFonts w:ascii="Arial" w:cs="Arial" w:eastAsia="Arial" w:hAnsi="Arial"/>
                <w:sz w:val="16"/>
                <w:szCs w:val="16"/>
                <w:color w:val="auto"/>
              </w:rPr>
              <w:t>455,390</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1,677,115</w:t>
            </w:r>
          </w:p>
        </w:tc>
      </w:tr>
      <w:tr>
        <w:trPr>
          <w:trHeight w:val="371"/>
        </w:trPr>
        <w:tc>
          <w:tcPr>
            <w:tcW w:w="960" w:type="dxa"/>
            <w:vAlign w:val="bottom"/>
          </w:tcPr>
          <w:p>
            <w:pPr>
              <w:jc w:val="right"/>
              <w:spacing w:after="0"/>
              <w:rPr>
                <w:sz w:val="20"/>
                <w:szCs w:val="20"/>
                <w:color w:val="auto"/>
              </w:rPr>
            </w:pPr>
            <w:r>
              <w:rPr>
                <w:rFonts w:ascii="Arial" w:cs="Arial" w:eastAsia="Arial" w:hAnsi="Arial"/>
                <w:sz w:val="16"/>
                <w:szCs w:val="16"/>
                <w:color w:val="auto"/>
              </w:rPr>
              <w:t>371,643</w:t>
            </w:r>
          </w:p>
        </w:tc>
        <w:tc>
          <w:tcPr>
            <w:tcW w:w="960" w:type="dxa"/>
            <w:vAlign w:val="bottom"/>
          </w:tcPr>
          <w:p>
            <w:pPr>
              <w:jc w:val="right"/>
              <w:spacing w:after="0"/>
              <w:rPr>
                <w:sz w:val="20"/>
                <w:szCs w:val="20"/>
                <w:color w:val="auto"/>
              </w:rPr>
            </w:pPr>
            <w:r>
              <w:rPr>
                <w:rFonts w:ascii="Arial" w:cs="Arial" w:eastAsia="Arial" w:hAnsi="Arial"/>
                <w:sz w:val="16"/>
                <w:szCs w:val="16"/>
                <w:color w:val="auto"/>
              </w:rPr>
              <w:t>310,911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682,554</w:t>
            </w:r>
          </w:p>
        </w:tc>
        <w:tc>
          <w:tcPr>
            <w:tcW w:w="960" w:type="dxa"/>
            <w:vAlign w:val="bottom"/>
          </w:tcPr>
          <w:p>
            <w:pPr>
              <w:jc w:val="right"/>
              <w:spacing w:after="0"/>
              <w:rPr>
                <w:sz w:val="20"/>
                <w:szCs w:val="20"/>
                <w:color w:val="auto"/>
              </w:rPr>
            </w:pPr>
            <w:r>
              <w:rPr>
                <w:rFonts w:ascii="Arial" w:cs="Arial" w:eastAsia="Arial" w:hAnsi="Arial"/>
                <w:sz w:val="16"/>
                <w:szCs w:val="16"/>
                <w:color w:val="auto"/>
              </w:rPr>
              <w:t>340,474</w:t>
            </w:r>
          </w:p>
        </w:tc>
        <w:tc>
          <w:tcPr>
            <w:tcW w:w="960" w:type="dxa"/>
            <w:vAlign w:val="bottom"/>
          </w:tcPr>
          <w:p>
            <w:pPr>
              <w:jc w:val="right"/>
              <w:spacing w:after="0"/>
              <w:rPr>
                <w:sz w:val="20"/>
                <w:szCs w:val="20"/>
                <w:color w:val="auto"/>
              </w:rPr>
            </w:pPr>
            <w:r>
              <w:rPr>
                <w:rFonts w:ascii="Arial" w:cs="Arial" w:eastAsia="Arial" w:hAnsi="Arial"/>
                <w:sz w:val="16"/>
                <w:szCs w:val="16"/>
                <w:color w:val="auto"/>
              </w:rPr>
              <w:t>325,625</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1,348,653</w:t>
            </w:r>
          </w:p>
        </w:tc>
      </w:tr>
      <w:tr>
        <w:trPr>
          <w:trHeight w:val="217"/>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(6,422)</w:t>
            </w:r>
          </w:p>
        </w:tc>
      </w:tr>
      <w:tr>
        <w:trPr>
          <w:trHeight w:val="209"/>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$ 2,116,120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$ 1,894,670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$ 4,010,790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$ 2,000,153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$ 1,971,925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$ 7,982,868</w:t>
            </w:r>
          </w:p>
        </w:tc>
      </w:tr>
      <w:tr>
        <w:trPr>
          <w:trHeight w:val="21"/>
        </w:trPr>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-830580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-556895</wp:posOffset>
            </wp:positionV>
            <wp:extent cx="7132320"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-179070</wp:posOffset>
            </wp:positionV>
            <wp:extent cx="71323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80"/>
            <w:col w:w="5760"/>
          </w:cols>
          <w:pgMar w:left="340" w:top="364" w:right="339" w:bottom="1440" w:gutter="0" w:footer="0" w:header="0"/>
          <w:type w:val="continuous"/>
        </w:sectPr>
      </w:pPr>
    </w:p>
    <w:p>
      <w:pPr>
        <w:spacing w:after="0" w:line="137"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2024</w:t>
            </w:r>
          </w:p>
        </w:tc>
        <w:tc>
          <w:tcPr>
            <w:tcW w:w="1060" w:type="dxa"/>
            <w:vAlign w:val="bottom"/>
            <w:tcBorders>
              <w:bottom w:val="single" w:sz="8" w:color="auto"/>
            </w:tcBorders>
          </w:tcPr>
          <w:p>
            <w:pPr>
              <w:spacing w:after="0"/>
              <w:rPr>
                <w:sz w:val="18"/>
                <w:szCs w:val="18"/>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tcPr>
          <w:p>
            <w:pPr>
              <w:spacing w:after="0"/>
              <w:rPr>
                <w:sz w:val="18"/>
                <w:szCs w:val="18"/>
                <w:color w:val="auto"/>
              </w:rPr>
            </w:pPr>
          </w:p>
        </w:tc>
        <w:tc>
          <w:tcPr>
            <w:tcW w:w="58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w w:val="93"/>
              </w:rPr>
              <w:t>Q2</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Q2 YTD</w:t>
            </w:r>
          </w:p>
        </w:tc>
      </w:tr>
      <w:tr>
        <w:trPr>
          <w:trHeight w:val="176"/>
        </w:trPr>
        <w:tc>
          <w:tcPr>
            <w:tcW w:w="8320" w:type="dxa"/>
            <w:vAlign w:val="bottom"/>
            <w:gridSpan w:val="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BOOKINGS GROWTH FACTORS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2480" w:type="dxa"/>
            <w:vAlign w:val="bottom"/>
            <w:tcBorders>
              <w:top w:val="single" w:sz="8" w:color="auto"/>
            </w:tcBorders>
          </w:tcPr>
          <w:p>
            <w:pPr>
              <w:spacing w:after="0"/>
              <w:rPr>
                <w:sz w:val="22"/>
                <w:szCs w:val="22"/>
                <w:color w:val="auto"/>
              </w:rPr>
            </w:pPr>
          </w:p>
        </w:tc>
        <w:tc>
          <w:tcPr>
            <w:tcW w:w="582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r>
      <w:tr>
        <w:trPr>
          <w:trHeight w:val="216"/>
        </w:trPr>
        <w:tc>
          <w:tcPr>
            <w:tcW w:w="91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Organic</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080" w:type="dxa"/>
            <w:vAlign w:val="bottom"/>
            <w:gridSpan w:val="3"/>
          </w:tcPr>
          <w:p>
            <w:pPr>
              <w:ind w:left="440"/>
              <w:spacing w:after="0"/>
              <w:rPr>
                <w:sz w:val="20"/>
                <w:szCs w:val="20"/>
                <w:color w:val="auto"/>
              </w:rPr>
            </w:pPr>
            <w:r>
              <w:rPr>
                <w:rFonts w:ascii="Arial" w:cs="Arial" w:eastAsia="Arial" w:hAnsi="Arial"/>
                <w:sz w:val="16"/>
                <w:szCs w:val="16"/>
                <w:color w:val="auto"/>
              </w:rPr>
              <w:t>Engineered Products</w:t>
            </w:r>
          </w:p>
        </w:tc>
        <w:tc>
          <w:tcPr>
            <w:tcW w:w="540" w:type="dxa"/>
            <w:vAlign w:val="bottom"/>
          </w:tcPr>
          <w:p>
            <w:pPr>
              <w:jc w:val="right"/>
              <w:spacing w:after="0"/>
              <w:rPr>
                <w:sz w:val="20"/>
                <w:szCs w:val="20"/>
                <w:color w:val="auto"/>
              </w:rPr>
            </w:pPr>
            <w:r>
              <w:rPr>
                <w:rFonts w:ascii="Arial" w:cs="Arial" w:eastAsia="Arial" w:hAnsi="Arial"/>
                <w:sz w:val="16"/>
                <w:szCs w:val="16"/>
                <w:color w:val="auto"/>
              </w:rPr>
              <w:t>29.3 %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14.5 %</w:t>
            </w:r>
          </w:p>
        </w:tc>
      </w:tr>
      <w:tr>
        <w:trPr>
          <w:trHeight w:val="217"/>
        </w:trPr>
        <w:tc>
          <w:tcPr>
            <w:tcW w:w="20" w:type="dxa"/>
            <w:vAlign w:val="bottom"/>
            <w:shd w:val="clear" w:color="auto" w:fill="CCEEFF"/>
          </w:tcPr>
          <w:p>
            <w:pPr>
              <w:spacing w:after="0"/>
              <w:rPr>
                <w:sz w:val="18"/>
                <w:szCs w:val="18"/>
                <w:color w:val="auto"/>
              </w:rPr>
            </w:pPr>
          </w:p>
        </w:tc>
        <w:tc>
          <w:tcPr>
            <w:tcW w:w="9080" w:type="dxa"/>
            <w:vAlign w:val="bottom"/>
            <w:gridSpan w:val="3"/>
            <w:shd w:val="clear" w:color="auto" w:fill="CCEEFF"/>
          </w:tcPr>
          <w:p>
            <w:pPr>
              <w:ind w:left="440"/>
              <w:spacing w:after="0"/>
              <w:rPr>
                <w:sz w:val="20"/>
                <w:szCs w:val="20"/>
                <w:color w:val="auto"/>
              </w:rPr>
            </w:pPr>
            <w:r>
              <w:rPr>
                <w:rFonts w:ascii="Arial" w:cs="Arial" w:eastAsia="Arial" w:hAnsi="Arial"/>
                <w:sz w:val="16"/>
                <w:szCs w:val="16"/>
                <w:color w:val="auto"/>
              </w:rPr>
              <w:t>Clean Energy &amp; Fueling</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20" w:type="dxa"/>
            <w:vAlign w:val="bottom"/>
          </w:tcPr>
          <w:p>
            <w:pPr>
              <w:spacing w:after="0"/>
              <w:rPr>
                <w:sz w:val="18"/>
                <w:szCs w:val="18"/>
                <w:color w:val="auto"/>
              </w:rPr>
            </w:pPr>
          </w:p>
        </w:tc>
        <w:tc>
          <w:tcPr>
            <w:tcW w:w="9080" w:type="dxa"/>
            <w:vAlign w:val="bottom"/>
            <w:gridSpan w:val="3"/>
          </w:tcPr>
          <w:p>
            <w:pPr>
              <w:ind w:left="440"/>
              <w:spacing w:after="0"/>
              <w:rPr>
                <w:sz w:val="20"/>
                <w:szCs w:val="20"/>
                <w:color w:val="auto"/>
              </w:rPr>
            </w:pPr>
            <w:r>
              <w:rPr>
                <w:rFonts w:ascii="Arial" w:cs="Arial" w:eastAsia="Arial" w:hAnsi="Arial"/>
                <w:sz w:val="16"/>
                <w:szCs w:val="16"/>
                <w:color w:val="auto"/>
              </w:rPr>
              <w:t>Imaging &amp; Identification</w:t>
            </w:r>
          </w:p>
        </w:tc>
        <w:tc>
          <w:tcPr>
            <w:tcW w:w="540" w:type="dxa"/>
            <w:vAlign w:val="bottom"/>
          </w:tcPr>
          <w:p>
            <w:pPr>
              <w:jc w:val="right"/>
              <w:spacing w:after="0"/>
              <w:rPr>
                <w:sz w:val="20"/>
                <w:szCs w:val="20"/>
                <w:color w:val="auto"/>
              </w:rPr>
            </w:pPr>
            <w:r>
              <w:rPr>
                <w:rFonts w:ascii="Arial" w:cs="Arial" w:eastAsia="Arial" w:hAnsi="Arial"/>
                <w:sz w:val="16"/>
                <w:szCs w:val="16"/>
                <w:color w:val="auto"/>
              </w:rPr>
              <w:t>11.1 %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217"/>
        </w:trPr>
        <w:tc>
          <w:tcPr>
            <w:tcW w:w="20" w:type="dxa"/>
            <w:vAlign w:val="bottom"/>
            <w:shd w:val="clear" w:color="auto" w:fill="CCEEFF"/>
          </w:tcPr>
          <w:p>
            <w:pPr>
              <w:spacing w:after="0"/>
              <w:rPr>
                <w:sz w:val="18"/>
                <w:szCs w:val="18"/>
                <w:color w:val="auto"/>
              </w:rPr>
            </w:pPr>
          </w:p>
        </w:tc>
        <w:tc>
          <w:tcPr>
            <w:tcW w:w="9080" w:type="dxa"/>
            <w:vAlign w:val="bottom"/>
            <w:gridSpan w:val="3"/>
            <w:shd w:val="clear" w:color="auto" w:fill="CCEEFF"/>
          </w:tcPr>
          <w:p>
            <w:pPr>
              <w:ind w:left="440"/>
              <w:spacing w:after="0"/>
              <w:rPr>
                <w:sz w:val="20"/>
                <w:szCs w:val="20"/>
                <w:color w:val="auto"/>
              </w:rPr>
            </w:pPr>
            <w:r>
              <w:rPr>
                <w:rFonts w:ascii="Arial" w:cs="Arial" w:eastAsia="Arial" w:hAnsi="Arial"/>
                <w:sz w:val="16"/>
                <w:szCs w:val="16"/>
                <w:color w:val="auto"/>
              </w:rPr>
              <w:t>Pumps &amp; Process Solutions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5"/>
        </w:trPr>
        <w:tc>
          <w:tcPr>
            <w:tcW w:w="20" w:type="dxa"/>
            <w:vAlign w:val="bottom"/>
          </w:tcPr>
          <w:p>
            <w:pPr>
              <w:spacing w:after="0"/>
              <w:rPr>
                <w:sz w:val="18"/>
                <w:szCs w:val="18"/>
                <w:color w:val="auto"/>
              </w:rPr>
            </w:pPr>
          </w:p>
        </w:tc>
        <w:tc>
          <w:tcPr>
            <w:tcW w:w="9080" w:type="dxa"/>
            <w:vAlign w:val="bottom"/>
            <w:gridSpan w:val="3"/>
          </w:tcPr>
          <w:p>
            <w:pPr>
              <w:ind w:left="440"/>
              <w:spacing w:after="0"/>
              <w:rPr>
                <w:sz w:val="20"/>
                <w:szCs w:val="20"/>
                <w:color w:val="auto"/>
              </w:rPr>
            </w:pPr>
            <w:r>
              <w:rPr>
                <w:rFonts w:ascii="Arial" w:cs="Arial" w:eastAsia="Arial" w:hAnsi="Arial"/>
                <w:sz w:val="16"/>
                <w:szCs w:val="16"/>
                <w:color w:val="auto"/>
              </w:rPr>
              <w:t>Climate &amp; Sustainability Technologies</w:t>
            </w:r>
          </w:p>
        </w:tc>
        <w:tc>
          <w:tcPr>
            <w:tcW w:w="540" w:type="dxa"/>
            <w:vAlign w:val="bottom"/>
          </w:tcPr>
          <w:p>
            <w:pPr>
              <w:jc w:val="right"/>
              <w:spacing w:after="0"/>
              <w:rPr>
                <w:sz w:val="20"/>
                <w:szCs w:val="20"/>
                <w:color w:val="auto"/>
              </w:rPr>
            </w:pPr>
            <w:r>
              <w:rPr>
                <w:rFonts w:ascii="Arial" w:cs="Arial" w:eastAsia="Arial" w:hAnsi="Arial"/>
                <w:sz w:val="16"/>
                <w:szCs w:val="16"/>
                <w:color w:val="auto"/>
              </w:rPr>
              <w:t>31.6 %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26.6 %</w:t>
            </w:r>
          </w:p>
        </w:tc>
      </w:tr>
      <w:tr>
        <w:trPr>
          <w:trHeight w:val="210"/>
        </w:trPr>
        <w:tc>
          <w:tcPr>
            <w:tcW w:w="83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Organic</w:t>
            </w: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9.2 %</w:t>
            </w:r>
          </w:p>
        </w:tc>
      </w:tr>
      <w:tr>
        <w:trPr>
          <w:trHeight w:val="215"/>
        </w:trPr>
        <w:tc>
          <w:tcPr>
            <w:tcW w:w="9100" w:type="dxa"/>
            <w:vAlign w:val="bottom"/>
            <w:gridSpan w:val="4"/>
          </w:tcPr>
          <w:p>
            <w:pPr>
              <w:ind w:left="20"/>
              <w:spacing w:after="0"/>
              <w:rPr>
                <w:sz w:val="20"/>
                <w:szCs w:val="20"/>
                <w:color w:val="auto"/>
              </w:rPr>
            </w:pPr>
            <w:r>
              <w:rPr>
                <w:rFonts w:ascii="Arial" w:cs="Arial" w:eastAsia="Arial" w:hAnsi="Arial"/>
                <w:sz w:val="16"/>
                <w:szCs w:val="16"/>
                <w:color w:val="auto"/>
              </w:rPr>
              <w:t>Acquisitions</w:t>
            </w:r>
          </w:p>
        </w:tc>
        <w:tc>
          <w:tcPr>
            <w:tcW w:w="540" w:type="dxa"/>
            <w:vAlign w:val="bottom"/>
          </w:tcPr>
          <w:p>
            <w:pPr>
              <w:jc w:val="right"/>
              <w:spacing w:after="0"/>
              <w:rPr>
                <w:sz w:val="20"/>
                <w:szCs w:val="20"/>
                <w:color w:val="auto"/>
              </w:rPr>
            </w:pPr>
            <w:r>
              <w:rPr>
                <w:rFonts w:ascii="Arial" w:cs="Arial" w:eastAsia="Arial" w:hAnsi="Arial"/>
                <w:sz w:val="16"/>
                <w:szCs w:val="16"/>
                <w:color w:val="auto"/>
              </w:rPr>
              <w:t>2.1 %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17"/>
        </w:trPr>
        <w:tc>
          <w:tcPr>
            <w:tcW w:w="91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Dispositions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9100" w:type="dxa"/>
            <w:vAlign w:val="bottom"/>
            <w:gridSpan w:val="4"/>
          </w:tcPr>
          <w:p>
            <w:pPr>
              <w:ind w:left="20"/>
              <w:spacing w:after="0"/>
              <w:rPr>
                <w:sz w:val="20"/>
                <w:szCs w:val="20"/>
                <w:color w:val="auto"/>
              </w:rPr>
            </w:pPr>
            <w:r>
              <w:rPr>
                <w:rFonts w:ascii="Arial" w:cs="Arial" w:eastAsia="Arial" w:hAnsi="Arial"/>
                <w:sz w:val="16"/>
                <w:szCs w:val="16"/>
                <w:color w:val="auto"/>
              </w:rPr>
              <w:t>Currency translation</w:t>
            </w:r>
          </w:p>
        </w:tc>
        <w:tc>
          <w:tcPr>
            <w:tcW w:w="54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83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9.6 %</w:t>
            </w:r>
          </w:p>
        </w:tc>
      </w:tr>
      <w:tr>
        <w:trPr>
          <w:trHeight w:val="215"/>
        </w:trPr>
        <w:tc>
          <w:tcPr>
            <w:tcW w:w="9100" w:type="dxa"/>
            <w:vAlign w:val="bottom"/>
            <w:gridSpan w:val="4"/>
          </w:tcPr>
          <w:p>
            <w:pPr>
              <w:ind w:left="20"/>
              <w:spacing w:after="0"/>
              <w:rPr>
                <w:sz w:val="20"/>
                <w:szCs w:val="20"/>
                <w:color w:val="auto"/>
              </w:rPr>
            </w:pPr>
            <w:r>
              <w:rPr>
                <w:rFonts w:ascii="Arial" w:cs="Arial" w:eastAsia="Arial" w:hAnsi="Arial"/>
                <w:sz w:val="16"/>
                <w:szCs w:val="16"/>
                <w:color w:val="auto"/>
              </w:rPr>
              <w:t>* Totals may be impacted by rounding.</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IS - 9</w:t>
      </w:r>
    </w:p>
    <w:p>
      <w:pPr>
        <w:sectPr>
          <w:pgSz w:w="11900" w:h="16838" w:orient="portrait"/>
          <w:cols w:equalWidth="0" w:num="1">
            <w:col w:w="11220"/>
          </w:cols>
          <w:pgMar w:left="340" w:top="364"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Non-GAAP Measures Definitions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an effort to provide investors with additional information regarding our results as determined by GAAP, management also discloses non-GAAP information that management believes provides useful information to investors. Adjusted net earnings, adjusted diluted net earnings per share, total segment earnings, total segment earnings margin, adjusted segment EBITDA, adjusted segment EBITDA margin, free cash flow, free cash flow as a percentage of revenue, free cash flow as a percentage of adjusted net earnings, and organic revenue growth are not financial measures under GAAP and should not be considered as a substitute for net earnings, diluted net earnings per share, cash flows from operating activities, or revenue as determined in accordance with GAAP, and they may not be comparable to similarly titled measures reported by other companies.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net earnings represents net earnings adjusted for the effect of purchase accounting expenses, restructuring and other costs/benefits, disposition costs and gain/loss on disposition. Purchase accounting expenses are primarily comprised of amortization of intangible assets. We exclude after-tax purchase accounting expenses because the amount and timing of such charges are significantly impacted by the timing, size, number and nature of the acquisitions the Company consummates. While we have a history of acquisition activity, our acquisitions do not happen in a predictive cycle. Exclusion of purchase accounting expenses facilitates more consistent comparisons of operating results over time. We believe it is important to understand that such intangible assets were recorded as part of purchase accounting and contribute to revenue generation. We exclude the other items because they occur for reasons that may be unrelated to the Company's commercial performance during the period and/or management believes they are not indicative of the Company's ongoing operating costs or gains in a given period.</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diluted net earnings per share or adjusted earnings per share represent diluted EPS adjusted for the effect of purchase accounting expenses, restructuring and other costs/benefits, disposition costs and gain/loss on disposition.</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segment earnings is defined as the sum of earnings before purchase accounting expenses, restructuring and other costs/benefits, disposition costs, gain/loss on disposition, corporate expenses/other, interest expense, interest income and provision for income taxes for all segments. Total segment earnings margin is defined as total segment earnings divided by revenue.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segment EBITDA is defined as segment earnings plus other depreciation and amortization expense, which relates to property, plant, and equipment and intangibles, and excludes amounts related to purchase accounting expenses and restructuring and other costs/benefits. Adjusted segment EBITDA margin is defined as adjusted segment EBITDA divided by revenue.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believes the non-GAAP measures above are useful to investors to better understand the Company’s ongoing profitability as they will better reflect the Company's core operating results, offer more transparency and facilitate easier comparability to prior and future periods and to its peers.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Free cash flow represents net cash provided by operating activities minus capital expenditures. Free cash flow as a percentage of revenue equals free cash flow divided by revenue. Free cash flow as a percentage of adjusted net earnings equals free cash flow divided by adjusted net earnings. Management believes that free cash flow and free cash flow ratios are important measures of liquidity because they provide management and investors a measurement of cash generated from operations that is available for mandatory payment obligations and investment opportunities, such as funding acquisitions, paying dividends, repaying debt and repurchasing our common stock.</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that reporting organic revenue growth, which excludes the impact of foreign currency exchange rates and the impact of acquisitions and dispositions, provides a useful comparison of our revenue and trends between periods. We do not provide a reconciliation of forward-looking organic revenue to the most directly comparable GAAP financial measure pursuant to the exception provided in Item 10(e)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(1)(i)(B) of Regulation S-K because we are not able to provide a meaningful or accurate compilation of reconciling items. This is due to the inherent difficulty in accurately forecasting the timing and amounts of the items that would be excluded from the most directly comparable GAAP financial measure or are out of our control. For the same reasons, we are unable to address the probable significance of unavailable information which may be material.</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 - 10</w:t>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Performance Measures Definitions</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Bookings represent total orders received from customers in the current reporting period and exclude de-bookings related to orders received in prior periods, if any. This metric is an important measure of performance and an indicator of order trends.</w:t>
      </w:r>
    </w:p>
    <w:p>
      <w:pPr>
        <w:spacing w:after="0" w:line="18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Organic bookings represent bookings excluding the impact of foreign currency exchange rates and the impact of acquisitions and dispositions. This metric is an important measure of performance and an indicator of revenue order trends.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use the above operational metrics in monitoring the performance of the business. We believe the operational metrics are useful to investors and other users of our financial information in assessing the performance of our segments.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 - 11</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Letter"/>
      <w:start w:val="4"/>
    </w:lvl>
  </w:abstractNum>
  <w:abstractNum w:abstractNumId="2">
    <w:nsid w:val="41A7C4C9"/>
    <w:multiLevelType w:val="hybridMultilevel"/>
    <w:lvl w:ilvl="0">
      <w:lvlJc w:val="left"/>
      <w:lvlText w:val="1"/>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bullet"/>
      <w:start w:val="1"/>
    </w:lvl>
  </w:abstractNum>
  <w:abstractNum w:abstractNumId="5">
    <w:nsid w:val="25E45D32"/>
    <w:multiLevelType w:val="hybridMultilevel"/>
    <w:lvl w:ilvl="0">
      <w:lvlJc w:val="left"/>
      <w:lvlText w:val="2"/>
      <w:numFmt w:val="bullet"/>
      <w:start w:val="1"/>
    </w:lvl>
  </w:abstractNum>
  <w:abstractNum w:abstractNumId="6">
    <w:nsid w:val="519B500D"/>
    <w:multiLevelType w:val="hybridMultilevel"/>
    <w:lvl w:ilvl="0">
      <w:lvlJc w:val="left"/>
      <w:lvlText w:val="3"/>
      <w:numFmt w:val="bullet"/>
      <w:start w:val="1"/>
    </w:lvl>
  </w:abstractNum>
  <w:abstractNum w:abstractNumId="7">
    <w:nsid w:val="431BD7B7"/>
    <w:multiLevelType w:val="hybridMultilevel"/>
    <w:lvl w:ilvl="0">
      <w:lvlJc w:val="left"/>
      <w:lvlText w:val="4"/>
      <w:numFmt w:val="bullet"/>
      <w:start w:val="1"/>
    </w:lvl>
  </w:abstractNum>
  <w:abstractNum w:abstractNumId="8">
    <w:nsid w:val="3F2DBA31"/>
    <w:multiLevelType w:val="hybridMultilevel"/>
    <w:lvl w:ilvl="0">
      <w:lvlJc w:val="left"/>
      <w:lvlText w:val="5"/>
      <w:numFmt w:val="bullet"/>
      <w:start w:val="1"/>
    </w:lvl>
  </w:abstractNum>
  <w:abstractNum w:abstractNumId="9">
    <w:nsid w:val="7C83E458"/>
    <w:multiLevelType w:val="hybridMultilevel"/>
    <w:lvl w:ilvl="0">
      <w:lvlJc w:val="left"/>
      <w:lvlText w:val="6"/>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bullet"/>
      <w:start w:val="1"/>
    </w:lvl>
  </w:abstractNum>
  <w:abstractNum w:abstractNumId="12">
    <w:nsid w:val="436C6125"/>
    <w:multiLevelType w:val="hybridMultilevel"/>
    <w:lvl w:ilvl="0">
      <w:lvlJc w:val="left"/>
      <w:lvlText w:val="2"/>
      <w:numFmt w:val="bullet"/>
      <w:start w:val="1"/>
    </w:lvl>
  </w:abstractNum>
  <w:abstractNum w:abstractNumId="13">
    <w:nsid w:val="628C895D"/>
    <w:multiLevelType w:val="hybridMultilevel"/>
    <w:lvl w:ilvl="0">
      <w:lvlJc w:val="left"/>
      <w:lvlText w:val="3"/>
      <w:numFmt w:val="bullet"/>
      <w:start w:val="1"/>
    </w:lvl>
  </w:abstractNum>
  <w:abstractNum w:abstractNumId="14">
    <w:nsid w:val="333AB105"/>
    <w:multiLevelType w:val="hybridMultilevel"/>
    <w:lvl w:ilvl="0">
      <w:lvlJc w:val="left"/>
      <w:lvlText w:val="4"/>
      <w:numFmt w:val="bullet"/>
      <w:start w:val="1"/>
    </w:lvl>
  </w:abstractNum>
  <w:abstractNum w:abstractNumId="15">
    <w:nsid w:val="721DA317"/>
    <w:multiLevelType w:val="hybridMultilevel"/>
    <w:lvl w:ilvl="0">
      <w:lvlJc w:val="left"/>
      <w:lvlText w:val="5"/>
      <w:numFmt w:val="bullet"/>
      <w:start w:val="1"/>
    </w:lvl>
  </w:abstractNum>
  <w:abstractNum w:abstractNumId="16">
    <w:nsid w:val="2443A858"/>
    <w:multiLevelType w:val="hybridMultilevel"/>
    <w:lvl w:ilvl="0">
      <w:lvlJc w:val="left"/>
      <w:lvlText w:val="1"/>
      <w:numFmt w:val="bullet"/>
      <w:start w:val="1"/>
    </w:lvl>
  </w:abstractNum>
  <w:abstractNum w:abstractNumId="17">
    <w:nsid w:val="2D1D5AE9"/>
    <w:multiLevelType w:val="hybridMultilevel"/>
    <w:lvl w:ilvl="0">
      <w:lvlJc w:val="left"/>
      <w:lvlText w:val="2"/>
      <w:numFmt w:val="bullet"/>
      <w:start w:val="1"/>
    </w:lvl>
  </w:abstractNum>
  <w:abstractNum w:abstractNumId="18">
    <w:nsid w:val="6763845E"/>
    <w:multiLevelType w:val="hybridMultilevel"/>
    <w:lvl w:ilvl="0">
      <w:lvlJc w:val="left"/>
      <w:lvlText w:val="3"/>
      <w:numFmt w:val="bullet"/>
      <w:start w:val="1"/>
    </w:lvl>
  </w:abstractNum>
  <w:abstractNum w:abstractNumId="19">
    <w:nsid w:val="75A2A8D4"/>
    <w:multiLevelType w:val="hybridMultilevel"/>
    <w:lvl w:ilvl="0">
      <w:lvlJc w:val="left"/>
      <w:lvlText w:val="1"/>
      <w:numFmt w:val="bullet"/>
      <w:start w:val="1"/>
    </w:lvl>
  </w:abstractNum>
  <w:abstractNum w:abstractNumId="20">
    <w:nsid w:val="8EDBDAB"/>
    <w:multiLevelType w:val="hybridMultilevel"/>
    <w:lvl w:ilvl="0">
      <w:lvlJc w:val="left"/>
      <w:lvlText w:val="3"/>
      <w:numFmt w:val="bullet"/>
      <w:start w:val="1"/>
    </w:lvl>
  </w:abstractNum>
  <w:abstractNum w:abstractNumId="21">
    <w:nsid w:val="79838CB2"/>
    <w:multiLevelType w:val="hybridMultilevel"/>
    <w:lvl w:ilvl="0">
      <w:lvlJc w:val="left"/>
      <w:lvlText w:val="4"/>
      <w:numFmt w:val="bullet"/>
      <w:start w:val="1"/>
    </w:lvl>
  </w:abstractNum>
  <w:abstractNum w:abstractNumId="22">
    <w:nsid w:val="4353D0CD"/>
    <w:multiLevelType w:val="hybridMultilevel"/>
    <w:lvl w:ilvl="0">
      <w:lvlJc w:val="left"/>
      <w:lvlText w:val="5"/>
      <w:numFmt w:val="bullet"/>
      <w:start w:val="1"/>
    </w:lvl>
  </w:abstractNum>
  <w:abstractNum w:abstractNumId="23">
    <w:nsid w:val="B03E0C6"/>
    <w:multiLevelType w:val="hybridMultilevel"/>
    <w:lvl w:ilvl="0">
      <w:lvlJc w:val="left"/>
      <w:lvlText w:val="6"/>
      <w:numFmt w:val="bullet"/>
      <w:start w:val="1"/>
    </w:lvl>
  </w:abstractNum>
  <w:abstractNum w:abstractNumId="24">
    <w:nsid w:val="189A769B"/>
    <w:multiLevelType w:val="hybridMultilevel"/>
    <w:lvl w:ilvl="0">
      <w:lvlJc w:val="left"/>
      <w:lvlText w:val="8"/>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2024-07-25T05:40:18Z</dcterms:created>
  <dcterms:modified xsi:type="dcterms:W3CDTF">2024-07-25T05:40:18Z</dcterms:modified>
</cp:coreProperties>
</file>