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t>UNITED STATES</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179705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1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April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214630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326390</wp:posOffset>
            </wp:positionV>
            <wp:extent cx="376301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301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164" w:type="dxa"/>
        <w:tblCellMar>
          <w:top w:w="0" w:type="dxa"/>
          <w:left w:w="0" w:type="dxa"/>
          <w:bottom w:w="0" w:type="dxa"/>
          <w:right w:w="0" w:type="dxa"/>
        </w:tblCellMar>
      </w:tblPr>
      <w:tr>
        <w:trPr>
          <w:trHeight w:val="239"/>
        </w:trPr>
        <w:tc>
          <w:tcPr>
            <w:tcW w:w="7580" w:type="dxa"/>
            <w:vAlign w:val="bottom"/>
            <w:gridSpan w:val="3"/>
          </w:tcPr>
          <w:p>
            <w:pPr>
              <w:jc w:val="center"/>
              <w:ind w:left="3030"/>
              <w:spacing w:after="0"/>
              <w:rPr>
                <w:sz w:val="20"/>
                <w:szCs w:val="20"/>
                <w:color w:val="auto"/>
              </w:rPr>
            </w:pPr>
            <w:r>
              <w:rPr>
                <w:rFonts w:ascii="Arial" w:cs="Arial" w:eastAsia="Arial" w:hAnsi="Arial"/>
                <w:sz w:val="18"/>
                <w:szCs w:val="18"/>
                <w:color w:val="auto"/>
                <w:w w:val="99"/>
              </w:rPr>
              <w:t>(Exact name of registrant as specified in its charter)</w:t>
            </w:r>
          </w:p>
        </w:tc>
        <w:tc>
          <w:tcPr>
            <w:tcW w:w="2900" w:type="dxa"/>
            <w:vAlign w:val="bottom"/>
          </w:tcPr>
          <w:p>
            <w:pPr>
              <w:spacing w:after="0"/>
              <w:rPr>
                <w:sz w:val="20"/>
                <w:szCs w:val="20"/>
                <w:color w:val="auto"/>
              </w:rPr>
            </w:pPr>
          </w:p>
        </w:tc>
      </w:tr>
      <w:tr>
        <w:trPr>
          <w:trHeight w:val="225"/>
        </w:trPr>
        <w:tc>
          <w:tcPr>
            <w:tcW w:w="418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85"/>
        </w:trPr>
        <w:tc>
          <w:tcPr>
            <w:tcW w:w="4180" w:type="dxa"/>
            <w:vAlign w:val="bottom"/>
          </w:tcPr>
          <w:p>
            <w:pPr>
              <w:jc w:val="center"/>
              <w:ind w:right="670"/>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jc w:val="right"/>
              <w:ind w:right="670"/>
              <w:spacing w:after="0"/>
              <w:rPr>
                <w:sz w:val="20"/>
                <w:szCs w:val="20"/>
                <w:color w:val="auto"/>
              </w:rPr>
            </w:pPr>
            <w:r>
              <w:rPr>
                <w:rFonts w:ascii="Arial" w:cs="Arial" w:eastAsia="Arial" w:hAnsi="Arial"/>
                <w:sz w:val="18"/>
                <w:szCs w:val="18"/>
                <w:b w:val="1"/>
                <w:bCs w:val="1"/>
                <w:color w:val="auto"/>
              </w:rPr>
              <w:t>1-4018</w:t>
            </w:r>
          </w:p>
        </w:tc>
        <w:tc>
          <w:tcPr>
            <w:tcW w:w="1080" w:type="dxa"/>
            <w:vAlign w:val="bottom"/>
          </w:tcPr>
          <w:p>
            <w:pPr>
              <w:spacing w:after="0"/>
              <w:rPr>
                <w:sz w:val="24"/>
                <w:szCs w:val="24"/>
                <w:color w:val="auto"/>
              </w:rPr>
            </w:pPr>
          </w:p>
        </w:tc>
        <w:tc>
          <w:tcPr>
            <w:tcW w:w="2900" w:type="dxa"/>
            <w:vAlign w:val="bottom"/>
          </w:tcPr>
          <w:p>
            <w:pPr>
              <w:jc w:val="right"/>
              <w:ind w:right="810"/>
              <w:spacing w:after="0"/>
              <w:rPr>
                <w:sz w:val="20"/>
                <w:szCs w:val="20"/>
                <w:color w:val="auto"/>
              </w:rPr>
            </w:pPr>
            <w:r>
              <w:rPr>
                <w:rFonts w:ascii="Arial" w:cs="Arial" w:eastAsia="Arial" w:hAnsi="Arial"/>
                <w:sz w:val="18"/>
                <w:szCs w:val="18"/>
                <w:b w:val="1"/>
                <w:bCs w:val="1"/>
                <w:color w:val="auto"/>
              </w:rPr>
              <w:t>53-0257888</w:t>
            </w:r>
          </w:p>
        </w:tc>
      </w:tr>
      <w:tr>
        <w:trPr>
          <w:trHeight w:val="239"/>
        </w:trPr>
        <w:tc>
          <w:tcPr>
            <w:tcW w:w="4180" w:type="dxa"/>
            <w:vAlign w:val="bottom"/>
          </w:tcPr>
          <w:p>
            <w:pPr>
              <w:jc w:val="center"/>
              <w:ind w:right="690"/>
              <w:spacing w:after="0"/>
              <w:rPr>
                <w:sz w:val="20"/>
                <w:szCs w:val="20"/>
                <w:color w:val="auto"/>
              </w:rPr>
            </w:pPr>
            <w:r>
              <w:rPr>
                <w:rFonts w:ascii="Arial" w:cs="Arial" w:eastAsia="Arial" w:hAnsi="Arial"/>
                <w:sz w:val="18"/>
                <w:szCs w:val="18"/>
                <w:color w:val="auto"/>
                <w:w w:val="99"/>
              </w:rPr>
              <w:t>(State or other jurisdiction of incorporation)</w:t>
            </w:r>
          </w:p>
        </w:tc>
        <w:tc>
          <w:tcPr>
            <w:tcW w:w="3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(Commission File Number)</w:t>
            </w:r>
          </w:p>
        </w:tc>
        <w:tc>
          <w:tcPr>
            <w:tcW w:w="290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288"/>
        </w:trPr>
        <w:tc>
          <w:tcPr>
            <w:tcW w:w="4180" w:type="dxa"/>
            <w:vAlign w:val="bottom"/>
          </w:tcPr>
          <w:p>
            <w:pPr>
              <w:jc w:val="center"/>
              <w:ind w:right="690"/>
              <w:spacing w:after="0"/>
              <w:rPr>
                <w:sz w:val="20"/>
                <w:szCs w:val="20"/>
                <w:color w:val="auto"/>
              </w:rPr>
            </w:pPr>
            <w:r>
              <w:rPr>
                <w:rFonts w:ascii="Arial" w:cs="Arial" w:eastAsia="Arial" w:hAnsi="Arial"/>
                <w:sz w:val="18"/>
                <w:szCs w:val="18"/>
                <w:b w:val="1"/>
                <w:bCs w:val="1"/>
                <w:color w:val="auto"/>
                <w:w w:val="99"/>
              </w:rPr>
              <w:t>3005 Highland Parkway</w:t>
            </w:r>
          </w:p>
        </w:tc>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4180" w:type="dxa"/>
            <w:vAlign w:val="bottom"/>
          </w:tcPr>
          <w:p>
            <w:pPr>
              <w:jc w:val="center"/>
              <w:ind w:right="690"/>
              <w:spacing w:after="0" w:line="202" w:lineRule="exact"/>
              <w:rPr>
                <w:sz w:val="20"/>
                <w:szCs w:val="20"/>
                <w:color w:val="auto"/>
              </w:rPr>
            </w:pPr>
            <w:r>
              <w:rPr>
                <w:rFonts w:ascii="Arial" w:cs="Arial" w:eastAsia="Arial" w:hAnsi="Arial"/>
                <w:sz w:val="18"/>
                <w:szCs w:val="18"/>
                <w:b w:val="1"/>
                <w:bCs w:val="1"/>
                <w:color w:val="auto"/>
                <w:w w:val="99"/>
              </w:rPr>
              <w:t>Downers Grove, Illinois</w:t>
            </w:r>
          </w:p>
        </w:tc>
        <w:tc>
          <w:tcPr>
            <w:tcW w:w="2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60515</w:t>
            </w:r>
          </w:p>
        </w:tc>
      </w:tr>
      <w:tr>
        <w:trPr>
          <w:trHeight w:val="239"/>
        </w:trPr>
        <w:tc>
          <w:tcPr>
            <w:tcW w:w="4180" w:type="dxa"/>
            <w:vAlign w:val="bottom"/>
          </w:tcPr>
          <w:p>
            <w:pPr>
              <w:jc w:val="center"/>
              <w:ind w:right="690"/>
              <w:spacing w:after="0"/>
              <w:rPr>
                <w:sz w:val="20"/>
                <w:szCs w:val="20"/>
                <w:color w:val="auto"/>
              </w:rPr>
            </w:pPr>
            <w:r>
              <w:rPr>
                <w:rFonts w:ascii="Arial" w:cs="Arial" w:eastAsia="Arial" w:hAnsi="Arial"/>
                <w:sz w:val="18"/>
                <w:szCs w:val="18"/>
                <w:color w:val="auto"/>
                <w:w w:val="99"/>
              </w:rPr>
              <w:t>(Address of Principal Executive Offices)</w:t>
            </w:r>
          </w:p>
        </w:tc>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tcPr>
          <w:p>
            <w:pPr>
              <w:jc w:val="right"/>
              <w:ind w:right="810"/>
              <w:spacing w:after="0"/>
              <w:rPr>
                <w:sz w:val="20"/>
                <w:szCs w:val="20"/>
                <w:color w:val="auto"/>
              </w:rPr>
            </w:pPr>
            <w:r>
              <w:rPr>
                <w:rFonts w:ascii="Arial" w:cs="Arial" w:eastAsia="Arial" w:hAnsi="Arial"/>
                <w:sz w:val="18"/>
                <w:szCs w:val="18"/>
                <w:color w:val="auto"/>
              </w:rPr>
              <w:t>(Zip Code)</w:t>
            </w:r>
          </w:p>
        </w:tc>
      </w:tr>
      <w:tr>
        <w:trPr>
          <w:trHeight w:val="247"/>
        </w:trPr>
        <w:tc>
          <w:tcPr>
            <w:tcW w:w="418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rPr>
              <w:t>(630) 541-1540</w:t>
            </w:r>
          </w:p>
        </w:tc>
        <w:tc>
          <w:tcPr>
            <w:tcW w:w="108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39"/>
        </w:trPr>
        <w:tc>
          <w:tcPr>
            <w:tcW w:w="7580" w:type="dxa"/>
            <w:vAlign w:val="bottom"/>
            <w:gridSpan w:val="3"/>
          </w:tcPr>
          <w:p>
            <w:pPr>
              <w:jc w:val="center"/>
              <w:ind w:left="3030"/>
              <w:spacing w:after="0"/>
              <w:rPr>
                <w:sz w:val="20"/>
                <w:szCs w:val="20"/>
                <w:color w:val="auto"/>
              </w:rPr>
            </w:pPr>
            <w:r>
              <w:rPr>
                <w:rFonts w:ascii="Arial" w:cs="Arial" w:eastAsia="Arial" w:hAnsi="Arial"/>
                <w:sz w:val="18"/>
                <w:szCs w:val="18"/>
                <w:color w:val="auto"/>
                <w:w w:val="99"/>
              </w:rPr>
              <w:t>(Registrant’s telephone number, including area code)</w:t>
            </w:r>
          </w:p>
        </w:tc>
        <w:tc>
          <w:tcPr>
            <w:tcW w:w="29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134620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ind w:left="4" w:right="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54"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 w:right="1920" w:hanging="4"/>
        <w:spacing w:after="0" w:line="339"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4" w:type="dxa"/>
        <w:tblCellMar>
          <w:top w:w="0" w:type="dxa"/>
          <w:left w:w="0" w:type="dxa"/>
          <w:bottom w:w="0" w:type="dxa"/>
          <w:right w:w="0" w:type="dxa"/>
        </w:tblCellMar>
      </w:tblPr>
      <w:tr>
        <w:trPr>
          <w:trHeight w:val="197"/>
        </w:trPr>
        <w:tc>
          <w:tcPr>
            <w:tcW w:w="3080" w:type="dxa"/>
            <w:vAlign w:val="bottom"/>
            <w:tcBorders>
              <w:top w:val="single" w:sz="8" w:color="auto"/>
              <w:left w:val="single" w:sz="8" w:color="auto"/>
              <w:bottom w:val="single" w:sz="8" w:color="auto"/>
              <w:right w:val="single" w:sz="8" w:color="auto"/>
            </w:tcBorders>
          </w:tcPr>
          <w:p>
            <w:pPr>
              <w:ind w:left="160"/>
              <w:spacing w:after="0" w:line="197" w:lineRule="exact"/>
              <w:rPr>
                <w:sz w:val="20"/>
                <w:szCs w:val="20"/>
                <w:color w:val="auto"/>
              </w:rPr>
            </w:pPr>
            <w:r>
              <w:rPr>
                <w:rFonts w:ascii="Arial" w:cs="Arial" w:eastAsia="Arial" w:hAnsi="Arial"/>
                <w:sz w:val="18"/>
                <w:szCs w:val="18"/>
                <w:color w:val="auto"/>
              </w:rPr>
              <w:t>Title of each class</w:t>
            </w:r>
          </w:p>
        </w:tc>
        <w:tc>
          <w:tcPr>
            <w:tcW w:w="2980" w:type="dxa"/>
            <w:vAlign w:val="bottom"/>
            <w:tcBorders>
              <w:top w:val="single" w:sz="8" w:color="auto"/>
              <w:bottom w:val="single" w:sz="8" w:color="auto"/>
              <w:right w:val="single" w:sz="8" w:color="auto"/>
            </w:tcBorders>
          </w:tcPr>
          <w:p>
            <w:pPr>
              <w:ind w:left="100"/>
              <w:spacing w:after="0" w:line="197" w:lineRule="exact"/>
              <w:rPr>
                <w:sz w:val="20"/>
                <w:szCs w:val="20"/>
                <w:color w:val="auto"/>
              </w:rPr>
            </w:pPr>
            <w:r>
              <w:rPr>
                <w:rFonts w:ascii="Arial" w:cs="Arial" w:eastAsia="Arial" w:hAnsi="Arial"/>
                <w:sz w:val="18"/>
                <w:szCs w:val="18"/>
                <w:color w:val="auto"/>
              </w:rPr>
              <w:t>Trading Symbol(s)</w:t>
            </w:r>
          </w:p>
        </w:tc>
        <w:tc>
          <w:tcPr>
            <w:tcW w:w="4980" w:type="dxa"/>
            <w:vAlign w:val="bottom"/>
            <w:tcBorders>
              <w:top w:val="single" w:sz="8" w:color="auto"/>
              <w:bottom w:val="single" w:sz="8" w:color="auto"/>
              <w:right w:val="single" w:sz="8" w:color="auto"/>
            </w:tcBorders>
          </w:tcPr>
          <w:p>
            <w:pPr>
              <w:ind w:left="100"/>
              <w:spacing w:after="0" w:line="197" w:lineRule="exact"/>
              <w:rPr>
                <w:sz w:val="20"/>
                <w:szCs w:val="20"/>
                <w:color w:val="auto"/>
              </w:rPr>
            </w:pPr>
            <w:r>
              <w:rPr>
                <w:rFonts w:ascii="Arial" w:cs="Arial" w:eastAsia="Arial" w:hAnsi="Arial"/>
                <w:sz w:val="18"/>
                <w:szCs w:val="18"/>
                <w:color w:val="auto"/>
              </w:rPr>
              <w:t>Name of each exchange on which registered</w:t>
            </w:r>
          </w:p>
        </w:tc>
      </w:tr>
      <w:tr>
        <w:trPr>
          <w:trHeight w:val="196"/>
        </w:trPr>
        <w:tc>
          <w:tcPr>
            <w:tcW w:w="308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Common Stock</w:t>
            </w:r>
          </w:p>
        </w:tc>
        <w:tc>
          <w:tcPr>
            <w:tcW w:w="2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DOV</w:t>
            </w:r>
          </w:p>
        </w:tc>
        <w:tc>
          <w:tcPr>
            <w:tcW w:w="4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York Stock Exchange</w:t>
            </w:r>
          </w:p>
        </w:tc>
      </w:tr>
      <w:tr>
        <w:trPr>
          <w:trHeight w:val="196"/>
        </w:trPr>
        <w:tc>
          <w:tcPr>
            <w:tcW w:w="308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1.250% Notes due 2026</w:t>
            </w:r>
          </w:p>
        </w:tc>
        <w:tc>
          <w:tcPr>
            <w:tcW w:w="2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DOV 26</w:t>
            </w:r>
          </w:p>
        </w:tc>
        <w:tc>
          <w:tcPr>
            <w:tcW w:w="4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York Stock Exchange</w:t>
            </w:r>
          </w:p>
        </w:tc>
      </w:tr>
      <w:tr>
        <w:trPr>
          <w:trHeight w:val="196"/>
        </w:trPr>
        <w:tc>
          <w:tcPr>
            <w:tcW w:w="308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0.750% Notes due 2027</w:t>
            </w:r>
          </w:p>
        </w:tc>
        <w:tc>
          <w:tcPr>
            <w:tcW w:w="2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DOV 27</w:t>
            </w:r>
          </w:p>
        </w:tc>
        <w:tc>
          <w:tcPr>
            <w:tcW w:w="4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York Stock Exchange</w:t>
            </w:r>
          </w:p>
        </w:tc>
      </w:tr>
      <w:tr>
        <w:trPr>
          <w:trHeight w:val="196"/>
        </w:trPr>
        <w:tc>
          <w:tcPr>
            <w:tcW w:w="308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3.500% Notes due 2033</w:t>
            </w:r>
          </w:p>
        </w:tc>
        <w:tc>
          <w:tcPr>
            <w:tcW w:w="2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DOV 33</w:t>
            </w:r>
          </w:p>
        </w:tc>
        <w:tc>
          <w:tcPr>
            <w:tcW w:w="49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York Stock Exchange</w:t>
            </w:r>
          </w:p>
        </w:tc>
      </w:tr>
    </w:tbl>
    <w:p>
      <w:pPr>
        <w:spacing w:after="0" w:line="197" w:lineRule="exact"/>
        <w:rPr>
          <w:sz w:val="24"/>
          <w:szCs w:val="24"/>
          <w:color w:val="auto"/>
        </w:rPr>
      </w:pPr>
    </w:p>
    <w:p>
      <w:pPr>
        <w:ind w:left="4" w:right="6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40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pacing w:after="0" w:line="58" w:lineRule="exact"/>
        <w:rPr>
          <w:sz w:val="24"/>
          <w:szCs w:val="24"/>
          <w:color w:val="auto"/>
        </w:rPr>
      </w:pPr>
    </w:p>
    <w:p>
      <w:pPr>
        <w:ind w:left="4" w:right="86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99516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4"/>
          </w:cols>
          <w:pgMar w:left="436" w:top="547"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the information set forth in Item 2.03, which is incorporated by reference herein.</w:t>
      </w:r>
    </w:p>
    <w:p>
      <w:pPr>
        <w:spacing w:after="0" w:line="2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Termination of a Material Definitive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the information set forth in Item 2.03, which is incorporated by reference herein.</w:t>
      </w:r>
    </w:p>
    <w:p>
      <w:pPr>
        <w:spacing w:after="0" w:line="212"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Replacing a similar existing credit facility with a remaining term of two years, on April 2, 2026, Dover Corporation (the “Company”) entered into a $1.5 billion five-year unsecured revolving credit facility with a syndicate of twelve banks (the “Lenders”), pursuant to a Credit Agreement dated as of April 2, 2026 (the “Five-Year Credit Agreement”) among the Company, the Lenders, the Issuing Banks party thereto, the Borrowing Subsidiaries party thereto from time to time and JPMorgan Chase Bank, N.A. as Administrative Agent (the “Agent”). The Five-Year Credit Agreement replaced an existing $1 billion five-year unsecured credit facility pursuant to a credit agreement dated as of April 6, 2023 for which JPMorgan Chase Bank, N.A. was administrative agent. The existing credit agreement was terminated by the Company upon execution of the Five-Year Credit Agreement. The Company’s existing 364-day credit agreement expired upon maturity on April 2, 2026.</w:t>
      </w:r>
    </w:p>
    <w:p>
      <w:pPr>
        <w:spacing w:after="0" w:line="18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Five-Year Credit Agreement is intended to be used primarily as liquidity back-up for the Company’s commercial paper program. Under the terms of the Five-Year Credit Agreement, it may generally be used only for working capital and general corporate purposes of the Company and its subsidiaries. Letters of credit are also available under the Five-Year Credit Agreement, subject to a $250 million subcap and certain other requirements. The currencies available under the Five-Year Credit Agreement are the US Dollar, Euro, Sterling, Canadian Dollar, and Swedish Kronor.</w:t>
      </w:r>
    </w:p>
    <w:p>
      <w:pPr>
        <w:spacing w:after="0" w:line="17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Lenders’ commitments under the Five-Year Credit Agreement will terminate, and the loans under that Credit Agreement will mature, on April 2, 2031.</w:t>
      </w:r>
    </w:p>
    <w:p>
      <w:pPr>
        <w:spacing w:after="0" w:line="15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any event of default under the Five-Year Credit Agreement, as described further below, has occurred and is continuing, the Lenders may accelerate and declare all of the Company’s obligations under such Credit Agreement due and payable, may require all outstanding letters of credit under the Five-Year Credit Agreement to be secured by cash collateral, and may terminate the commitments. The Company may ratably reduce from time to time or terminate the Lenders’ commitments under the Five-Year Credit Agreement. Any such termination or reduction of the commitments will be permanent.</w:t>
      </w:r>
    </w:p>
    <w:p>
      <w:pPr>
        <w:spacing w:after="0" w:line="17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Certain subsidiaries of the Company that agree to become parties to the Five-Year Credit Agreement as Borrowing Subsidiaries are also entitled to draw funds under the Five-Year Credit Agreement and have letters of credit issued under the Five-Year Credit Agreement as Borrowing Subsidiaries. The obligations of the Borrowing Subsidiaries in respect of their borrowings are guaranteed by the Company. As of the date hereof, there are no Borrowing Subsidiaries under the Five-Year Credit Agreement.</w:t>
      </w:r>
    </w:p>
    <w:p>
      <w:pPr>
        <w:spacing w:after="0" w:line="174"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Company may elect to have loans under the Five-Year Credit Agreement bear interest at a rate based on a benchmark interest rate (specified for each currency) and, in the case of US Dollars, an alternative base rate based on a prime rate. In each case, a specified applicable margin is added to the rate, ranging from 0.68% to 1.10% based on the credit rating given to the Company’s senior unsecured debt by S&amp;P and Moody’s. The benchmark rates are as follows: for US Dollar loans, SOFR; for Sterling loans, SONIA; for Euro loans, EURIBOR; for Canadian Dollar loans, CORRA; for Swedish Kronor loans, STIBOR. As noted above, the Company may also select an alternative base rate as the base interest for US Dollar loans.</w:t>
      </w:r>
    </w:p>
    <w:p>
      <w:pPr>
        <w:spacing w:after="0" w:line="17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Company will also pay a facility fee with a rate ranging from 0.070% to 0.150% under the Five-Year Credit Agreement on the total amount of the commitments, set on the basis of the rating accorded the Company’s senior unsecured debt by S&amp;P and Moody’s.</w:t>
      </w:r>
    </w:p>
    <w:p>
      <w:pPr>
        <w:spacing w:after="0" w:line="154"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If the Agent determines that (a) the benchmark rate used to set the interest rate applicable to any loan is not ascertainable or does not adequately and fairly reflect the cost of making or maintaining such loans and such circumstances are unlikely to be temporary, (b) the supervisor for the administrator of the applicable benchmark rate has made a public statement that the administrator of the applicable benchmark rate is insolvent (and there is no</w:t>
      </w:r>
    </w:p>
    <w:p>
      <w:pPr>
        <w:sectPr>
          <w:pgSz w:w="11900" w:h="16838" w:orient="portrait"/>
          <w:cols w:equalWidth="0" w:num="1">
            <w:col w:w="11000"/>
          </w:cols>
          <w:pgMar w:left="440" w:top="296" w:right="459" w:bottom="1440" w:gutter="0" w:footer="0" w:header="0"/>
        </w:sectPr>
      </w:pPr>
    </w:p>
    <w:bookmarkStart w:id="2" w:name="page3"/>
    <w:bookmarkEnd w:id="2"/>
    <w:p>
      <w:pPr>
        <w:ind w:left="4"/>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successor administrator that will continue publication of the applicable benchmark rate), (c) the supervisor for the administrator or the administrator of the applicable benchmark rate has made a public statement identifying a specific date after which the applicable benchmark rate will permanently or indefinitely cease to be published or (d) the supervisor for the administrator of the applicable benchmark rate or a governmental authority having jurisdiction over the Agent has made a public statement identifying a specific date after which the applicable benchmark rate may no longer be used for determining interest rates for loans denominated in the applicable currency, a replacement benchmark rate will be chosen by the Agent in the following order: (i) Daily Simple SOFR (only available for loans denominated in US Dollars), or Adjusted Daily Simple CORRA (only available for loans denominated in Canadian Dollar), as applicable, or</w:t>
      </w:r>
    </w:p>
    <w:p>
      <w:pPr>
        <w:spacing w:after="0" w:line="5" w:lineRule="exact"/>
        <w:rPr>
          <w:sz w:val="20"/>
          <w:szCs w:val="20"/>
          <w:color w:val="auto"/>
        </w:rPr>
      </w:pPr>
    </w:p>
    <w:p>
      <w:pPr>
        <w:ind w:left="4" w:right="680" w:hanging="4"/>
        <w:spacing w:after="0" w:line="250" w:lineRule="auto"/>
        <w:tabs>
          <w:tab w:leader="none" w:pos="25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sum of an alternate benchmark rate to be selected by the Agent and the Company, and a spread adjustment, or method for calculating or determining such spread adjustment, to be determined by the Agent and the Company.</w:t>
      </w:r>
    </w:p>
    <w:p>
      <w:pPr>
        <w:spacing w:after="0" w:line="172" w:lineRule="exact"/>
        <w:rPr>
          <w:sz w:val="20"/>
          <w:szCs w:val="20"/>
          <w:color w:val="auto"/>
        </w:rPr>
      </w:pPr>
    </w:p>
    <w:p>
      <w:pPr>
        <w:ind w:left="4" w:right="20"/>
        <w:spacing w:after="0"/>
        <w:rPr>
          <w:sz w:val="20"/>
          <w:szCs w:val="20"/>
          <w:color w:val="auto"/>
        </w:rPr>
      </w:pPr>
      <w:r>
        <w:rPr>
          <w:rFonts w:ascii="Arial" w:cs="Arial" w:eastAsia="Arial" w:hAnsi="Arial"/>
          <w:sz w:val="18"/>
          <w:szCs w:val="18"/>
          <w:color w:val="auto"/>
        </w:rPr>
        <w:t>Interest on loans that accrues at a rate based on a benchmark rate will be due and payable on the last day of the applicable interest period, which is the period commencing on the date the loan is made or the last day of the preceding interest period and ending one, three or six months thereafter, as the Company or the applicable Borrowing Subsidiary may elect (provided that six-month interest periods are not available for Term CORRA borrowings), or if an interest period is in excess of three months, each day prior to the last day of such interest period that occurs at intervals of three months after the first day thereof. Interest on loans that accrues at the alternative base rate will be due and payable on the last day of each of March, June, September, and December. The principal balance of loans and any accrued and unpaid interest under the Five-Year Credit Agreement will be due and payable in full on the maturity date for the loans under that Credit Agreement or, if earlier, the date on which all of the Company’s obligations are accelerated under that Credit Agreement.</w:t>
      </w:r>
    </w:p>
    <w:p>
      <w:pPr>
        <w:spacing w:after="0" w:line="180" w:lineRule="exact"/>
        <w:rPr>
          <w:sz w:val="20"/>
          <w:szCs w:val="20"/>
          <w:color w:val="auto"/>
        </w:rPr>
      </w:pPr>
    </w:p>
    <w:p>
      <w:pPr>
        <w:ind w:left="4"/>
        <w:spacing w:after="0" w:line="242" w:lineRule="auto"/>
        <w:rPr>
          <w:sz w:val="20"/>
          <w:szCs w:val="20"/>
          <w:color w:val="auto"/>
        </w:rPr>
      </w:pPr>
      <w:r>
        <w:rPr>
          <w:rFonts w:ascii="Arial" w:cs="Arial" w:eastAsia="Arial" w:hAnsi="Arial"/>
          <w:sz w:val="18"/>
          <w:szCs w:val="18"/>
          <w:color w:val="auto"/>
        </w:rPr>
        <w:t>Up to $250 million of the commitments under the Five-Year Credit Agreement will be available for the issuance of letters of credit. The face amount of outstanding letters of credit (and any unpaid drawing in respect thereof) will reduce availability under the Five-Year Credit Agreement on a dollar-for-dollar basis. A letter of credit fee will accrue and be payable on the daily aggregate face amount of outstanding letters of credit, payable in arrears at the end of each quarter and upon termination of the Five-Year Credit Agreement. The per annum rate at which the letter of credit fee will accrue is the benchmark rate for SOFR-based loans. No letter of credit may extend past five days prior to the maturity date for loans under the Five-Year Credit Agreement.</w:t>
      </w:r>
    </w:p>
    <w:p>
      <w:pPr>
        <w:spacing w:after="0" w:line="179" w:lineRule="exact"/>
        <w:rPr>
          <w:sz w:val="20"/>
          <w:szCs w:val="20"/>
          <w:color w:val="auto"/>
        </w:rPr>
      </w:pPr>
    </w:p>
    <w:p>
      <w:pPr>
        <w:ind w:left="4"/>
        <w:spacing w:after="0" w:line="242" w:lineRule="auto"/>
        <w:rPr>
          <w:sz w:val="20"/>
          <w:szCs w:val="20"/>
          <w:color w:val="auto"/>
        </w:rPr>
      </w:pPr>
      <w:r>
        <w:rPr>
          <w:rFonts w:ascii="Arial" w:cs="Arial" w:eastAsia="Arial" w:hAnsi="Arial"/>
          <w:sz w:val="18"/>
          <w:szCs w:val="18"/>
          <w:color w:val="auto"/>
        </w:rPr>
        <w:t>The Five-Year Credit Agreement imposes various restrictions on the Company that are substantially similar to those in the credit agreement replaced by the Five-Year Credit Agreement, including usual and customary limitations on the ability of the Company or any of its subsidiaries to grant liens upon their assets, a prohibition on certain consolidations, mergers and sales and transfers of assets by the Company and limitations on changes in the existing lines of business of the Company and the Borrowing Subsidiaries without the consent of the Lenders. In addition, the Company must maintain a minimum interest coverage ratio of EBITDA to consolidated net interest expense of not less than 3.00:1.00.</w:t>
      </w:r>
    </w:p>
    <w:p>
      <w:pPr>
        <w:spacing w:after="0" w:line="179" w:lineRule="exact"/>
        <w:rPr>
          <w:sz w:val="20"/>
          <w:szCs w:val="20"/>
          <w:color w:val="auto"/>
        </w:rPr>
      </w:pPr>
    </w:p>
    <w:p>
      <w:pPr>
        <w:ind w:left="4" w:right="40"/>
        <w:spacing w:after="0"/>
        <w:rPr>
          <w:sz w:val="20"/>
          <w:szCs w:val="20"/>
          <w:color w:val="auto"/>
        </w:rPr>
      </w:pPr>
      <w:r>
        <w:rPr>
          <w:rFonts w:ascii="Arial" w:cs="Arial" w:eastAsia="Arial" w:hAnsi="Arial"/>
          <w:sz w:val="18"/>
          <w:szCs w:val="18"/>
          <w:color w:val="auto"/>
        </w:rPr>
        <w:t>The Five-Year Credit Agreement includes usual and customary events of default for facilities of this nature (with specified grace periods in certain cases) and provides that, upon the occurrence and continuation of an event of default, payment of all amounts payable under the corresponding Credit Agreement may be accelerated, letters of credit issued under the Five-Year Credit Agreement may be required to be secured by cash collateral, and/or the Lenders’ commitments may be terminated. In addition, upon the occurrence of certain insolvency or bankruptcy related events of default, all amounts payable under the Five-Year Credit Agreement will automatically become immediately due and payable, the letters of credit issued under the Five-Year Credit Agreement will be required to be secured by cash collateral, and the Lenders’ commitments will automatically terminate.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has customary corporate and commercial banking relationships with the Lenders and the Agent.</w:t>
      </w:r>
    </w:p>
    <w:p>
      <w:pPr>
        <w:spacing w:after="0" w:line="212" w:lineRule="exact"/>
        <w:rPr>
          <w:sz w:val="20"/>
          <w:szCs w:val="20"/>
          <w:color w:val="auto"/>
        </w:rPr>
      </w:pPr>
    </w:p>
    <w:p>
      <w:pPr>
        <w:jc w:val="both"/>
        <w:ind w:left="4" w:right="80"/>
        <w:spacing w:after="0" w:line="301" w:lineRule="auto"/>
        <w:rPr>
          <w:sz w:val="20"/>
          <w:szCs w:val="20"/>
          <w:color w:val="auto"/>
        </w:rPr>
      </w:pPr>
      <w:r>
        <w:rPr>
          <w:rFonts w:ascii="Arial" w:cs="Arial" w:eastAsia="Arial" w:hAnsi="Arial"/>
          <w:sz w:val="17"/>
          <w:szCs w:val="17"/>
          <w:color w:val="auto"/>
        </w:rPr>
        <w:t>The foregoing summary does not purport to be complete and is qualified in its entirety by reference to the full texts of the Five-Year Credit Agreement, which is filed herewith as Exhibit 10.1 to this Current Report on Form 8-K and is incorporated by reference into this Item 2.03.</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p>
      <w:pPr>
        <w:ind w:left="764" w:hanging="548"/>
        <w:spacing w:after="0"/>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8"/>
          <w:szCs w:val="18"/>
          <w:color w:val="auto"/>
        </w:rPr>
        <w:t>The following exhibits are filed as part of this report:</w:t>
      </w:r>
    </w:p>
    <w:p>
      <w:pPr>
        <w:sectPr>
          <w:pgSz w:w="11900" w:h="16838" w:orient="portrait"/>
          <w:cols w:equalWidth="0" w:num="1">
            <w:col w:w="11004"/>
          </w:cols>
          <w:pgMar w:left="436" w:top="296" w:right="459" w:bottom="1440" w:gutter="0" w:footer="0" w:header="0"/>
        </w:sectPr>
      </w:pPr>
    </w:p>
    <w:bookmarkStart w:id="3" w:name="page4"/>
    <w:bookmarkEnd w:id="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10.1  </w:t>
      </w:r>
      <w:r>
        <w:rPr>
          <w:rFonts w:ascii="Arial" w:cs="Arial" w:eastAsia="Arial" w:hAnsi="Arial"/>
          <w:sz w:val="18"/>
          <w:szCs w:val="18"/>
          <w:u w:val="single" w:color="auto"/>
          <w:color w:val="0000EE"/>
        </w:rPr>
        <w:t>Five-Year Credit Agreement dated as of April 2, 2026 among Dover Corporation, the Lenders party thereto, the Issuing</w:t>
      </w:r>
      <w:r>
        <w:rPr>
          <w:rFonts w:ascii="Arial" w:cs="Arial" w:eastAsia="Arial" w:hAnsi="Arial"/>
          <w:sz w:val="18"/>
          <w:szCs w:val="18"/>
          <w:color w:val="auto"/>
        </w:rPr>
        <w:t xml:space="preserve"> </w:t>
      </w:r>
      <w:r>
        <w:rPr>
          <w:rFonts w:ascii="Arial" w:cs="Arial" w:eastAsia="Arial" w:hAnsi="Arial"/>
          <w:sz w:val="18"/>
          <w:szCs w:val="18"/>
          <w:u w:val="single" w:color="auto"/>
          <w:color w:val="0000EE"/>
        </w:rPr>
        <w:t>Banks party thereto, the Borrowing Subsidiaries party thereto from time to time and JPMorgan Chase Bank, N.A. as Administrative Agent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(the cover page XBRL tags are embedded within the Inline XBRL document).</w:t>
      </w:r>
    </w:p>
    <w:p>
      <w:pPr>
        <w:sectPr>
          <w:pgSz w:w="11900" w:h="16838" w:orient="portrait"/>
          <w:cols w:equalWidth="0" w:num="1">
            <w:col w:w="9960"/>
          </w:cols>
          <w:pgMar w:left="1200" w:top="296" w:right="7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Date:  April 8, 2026</w:t>
            </w:r>
          </w:p>
        </w:tc>
        <w:tc>
          <w:tcPr>
            <w:tcW w:w="6620" w:type="dxa"/>
            <w:vAlign w:val="bottom"/>
            <w:gridSpan w:val="2"/>
          </w:tcPr>
          <w:p>
            <w:pPr>
              <w:ind w:left="1780"/>
              <w:spacing w:after="0"/>
              <w:rPr>
                <w:sz w:val="20"/>
                <w:szCs w:val="20"/>
                <w:color w:val="auto"/>
              </w:rPr>
            </w:pPr>
            <w:r>
              <w:rPr>
                <w:rFonts w:ascii="Arial" w:cs="Arial" w:eastAsia="Arial" w:hAnsi="Arial"/>
                <w:sz w:val="18"/>
                <w:szCs w:val="18"/>
                <w:b w:val="1"/>
                <w:bCs w:val="1"/>
                <w:color w:val="auto"/>
              </w:rPr>
              <w:t>DOVER CORPORATION</w:t>
            </w:r>
          </w:p>
        </w:tc>
        <w:tc>
          <w:tcPr>
            <w:tcW w:w="880" w:type="dxa"/>
            <w:vAlign w:val="bottom"/>
          </w:tcPr>
          <w:p>
            <w:pPr>
              <w:spacing w:after="0"/>
              <w:rPr>
                <w:sz w:val="17"/>
                <w:szCs w:val="17"/>
                <w:color w:val="auto"/>
              </w:rPr>
            </w:pPr>
          </w:p>
        </w:tc>
      </w:tr>
      <w:tr>
        <w:trPr>
          <w:trHeight w:val="239"/>
        </w:trPr>
        <w:tc>
          <w:tcPr>
            <w:tcW w:w="3300" w:type="dxa"/>
            <w:vAlign w:val="bottom"/>
          </w:tcPr>
          <w:p>
            <w:pPr>
              <w:spacing w:after="0"/>
              <w:rPr>
                <w:sz w:val="20"/>
                <w:szCs w:val="20"/>
                <w:color w:val="auto"/>
              </w:rPr>
            </w:pPr>
          </w:p>
        </w:tc>
        <w:tc>
          <w:tcPr>
            <w:tcW w:w="6620" w:type="dxa"/>
            <w:vAlign w:val="bottom"/>
            <w:gridSpan w:val="2"/>
          </w:tcPr>
          <w:p>
            <w:pPr>
              <w:ind w:left="1780"/>
              <w:spacing w:after="0"/>
              <w:rPr>
                <w:sz w:val="20"/>
                <w:szCs w:val="20"/>
                <w:color w:val="auto"/>
              </w:rPr>
            </w:pPr>
            <w:r>
              <w:rPr>
                <w:rFonts w:ascii="Arial" w:cs="Arial" w:eastAsia="Arial" w:hAnsi="Arial"/>
                <w:sz w:val="18"/>
                <w:szCs w:val="18"/>
                <w:color w:val="auto"/>
              </w:rPr>
              <w:t>(Registrant)</w:t>
            </w:r>
          </w:p>
        </w:tc>
        <w:tc>
          <w:tcPr>
            <w:tcW w:w="880" w:type="dxa"/>
            <w:vAlign w:val="bottom"/>
          </w:tcPr>
          <w:p>
            <w:pPr>
              <w:spacing w:after="0"/>
              <w:rPr>
                <w:sz w:val="20"/>
                <w:szCs w:val="20"/>
                <w:color w:val="auto"/>
              </w:rPr>
            </w:pPr>
          </w:p>
        </w:tc>
      </w:tr>
      <w:tr>
        <w:trPr>
          <w:trHeight w:val="401"/>
        </w:trPr>
        <w:tc>
          <w:tcPr>
            <w:tcW w:w="3300" w:type="dxa"/>
            <w:vAlign w:val="bottom"/>
          </w:tcPr>
          <w:p>
            <w:pPr>
              <w:spacing w:after="0"/>
              <w:rPr>
                <w:sz w:val="24"/>
                <w:szCs w:val="24"/>
                <w:color w:val="auto"/>
              </w:rPr>
            </w:pPr>
          </w:p>
        </w:tc>
        <w:tc>
          <w:tcPr>
            <w:tcW w:w="6620" w:type="dxa"/>
            <w:vAlign w:val="bottom"/>
            <w:gridSpan w:val="2"/>
          </w:tcPr>
          <w:p>
            <w:pPr>
              <w:ind w:left="1780"/>
              <w:spacing w:after="0"/>
              <w:rPr>
                <w:sz w:val="20"/>
                <w:szCs w:val="20"/>
                <w:color w:val="auto"/>
              </w:rPr>
            </w:pPr>
            <w:r>
              <w:rPr>
                <w:rFonts w:ascii="Arial" w:cs="Arial" w:eastAsia="Arial" w:hAnsi="Arial"/>
                <w:sz w:val="18"/>
                <w:szCs w:val="18"/>
                <w:color w:val="auto"/>
              </w:rPr>
              <w:t>By:  /s/ Ivonne M. Cabrera</w:t>
            </w:r>
          </w:p>
        </w:tc>
        <w:tc>
          <w:tcPr>
            <w:tcW w:w="880" w:type="dxa"/>
            <w:vAlign w:val="bottom"/>
          </w:tcPr>
          <w:p>
            <w:pPr>
              <w:ind w:left="100"/>
              <w:spacing w:after="0"/>
              <w:rPr>
                <w:sz w:val="20"/>
                <w:szCs w:val="20"/>
                <w:color w:val="auto"/>
              </w:rPr>
            </w:pPr>
            <w:r>
              <w:rPr>
                <w:rFonts w:ascii="Arial" w:cs="Arial" w:eastAsia="Arial" w:hAnsi="Arial"/>
                <w:sz w:val="18"/>
                <w:szCs w:val="18"/>
                <w:color w:val="auto"/>
              </w:rPr>
              <w:t xml:space="preserve">             </w:t>
            </w:r>
          </w:p>
        </w:tc>
      </w:tr>
      <w:tr>
        <w:trPr>
          <w:trHeight w:val="191"/>
        </w:trPr>
        <w:tc>
          <w:tcPr>
            <w:tcW w:w="33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Ivonne M. Cabrera</w:t>
            </w:r>
          </w:p>
        </w:tc>
        <w:tc>
          <w:tcPr>
            <w:tcW w:w="880" w:type="dxa"/>
            <w:vAlign w:val="bottom"/>
          </w:tcPr>
          <w:p>
            <w:pPr>
              <w:spacing w:after="0"/>
              <w:rPr>
                <w:sz w:val="16"/>
                <w:szCs w:val="16"/>
                <w:color w:val="auto"/>
              </w:rPr>
            </w:pPr>
          </w:p>
        </w:tc>
      </w:tr>
      <w:tr>
        <w:trPr>
          <w:trHeight w:val="239"/>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Senior Vice President, General Counsel &amp; Secretary</w:t>
            </w:r>
          </w:p>
        </w:tc>
        <w:tc>
          <w:tcPr>
            <w:tcW w:w="880" w:type="dxa"/>
            <w:vAlign w:val="bottom"/>
          </w:tcPr>
          <w:p>
            <w:pPr>
              <w:spacing w:after="0"/>
              <w:rPr>
                <w:sz w:val="20"/>
                <w:szCs w:val="20"/>
                <w:color w:val="auto"/>
              </w:rPr>
            </w:pPr>
          </w:p>
        </w:tc>
      </w:tr>
    </w:tbl>
    <w:p>
      <w:pPr>
        <w:sectPr>
          <w:pgSz w:w="11900" w:h="16838" w:orient="portrait"/>
          <w:cols w:equalWidth="0" w:num="1">
            <w:col w:w="10800"/>
          </w:cols>
          <w:pgMar w:left="440" w:top="296"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US$1,500,000,000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FIVE-YEAR 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April 2,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BORROWING SUBSIDIARIES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HSBC BANK USA, NATIONAL ASSOCIATION and</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ING BANK N.V., DUBLIN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HSBC BANK USA, NATIONAL ASSOCIATION and</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ING BANK N.V., DUBLIN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237490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92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280" w:type="dxa"/>
            <w:vAlign w:val="bottom"/>
          </w:tcPr>
          <w:p>
            <w:pPr>
              <w:spacing w:after="0"/>
              <w:rPr>
                <w:sz w:val="20"/>
                <w:szCs w:val="20"/>
                <w:color w:val="auto"/>
              </w:rPr>
            </w:pPr>
          </w:p>
        </w:tc>
      </w:tr>
      <w:tr>
        <w:trPr>
          <w:trHeight w:val="392"/>
        </w:trPr>
        <w:tc>
          <w:tcPr>
            <w:tcW w:w="140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7"/>
              </w:rPr>
              <w:t>ARTICLE I</w:t>
            </w:r>
          </w:p>
        </w:tc>
        <w:tc>
          <w:tcPr>
            <w:tcW w:w="280" w:type="dxa"/>
            <w:vAlign w:val="bottom"/>
          </w:tcPr>
          <w:p>
            <w:pPr>
              <w:spacing w:after="0"/>
              <w:rPr>
                <w:sz w:val="24"/>
                <w:szCs w:val="24"/>
                <w:color w:val="auto"/>
              </w:rPr>
            </w:pPr>
          </w:p>
        </w:tc>
      </w:tr>
      <w:tr>
        <w:trPr>
          <w:trHeight w:val="306"/>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DEFINITIONS</w:t>
            </w:r>
          </w:p>
        </w:tc>
        <w:tc>
          <w:tcPr>
            <w:tcW w:w="280" w:type="dxa"/>
            <w:vAlign w:val="bottom"/>
          </w:tcPr>
          <w:p>
            <w:pPr>
              <w:spacing w:after="0"/>
              <w:rPr>
                <w:sz w:val="24"/>
                <w:szCs w:val="24"/>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Terms and Determinations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Terms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Blocking Regulation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The Credits</w:t>
            </w:r>
          </w:p>
        </w:tc>
        <w:tc>
          <w:tcPr>
            <w:tcW w:w="280" w:type="dxa"/>
            <w:vAlign w:val="bottom"/>
          </w:tcPr>
          <w:p>
            <w:pPr>
              <w:spacing w:after="0"/>
              <w:rPr>
                <w:sz w:val="24"/>
                <w:szCs w:val="24"/>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and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Requests for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Funding of Borrowings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Elections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and Reduction and Increase in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Prepayment of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Break Funding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Subsidiary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Designation of Borrowing 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7"/>
              </w:rPr>
              <w:t>ARTICLE III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80" w:type="dxa"/>
            <w:vAlign w:val="bottom"/>
          </w:tcPr>
          <w:p>
            <w:pPr>
              <w:spacing w:after="0"/>
              <w:rPr>
                <w:sz w:val="24"/>
                <w:szCs w:val="24"/>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and Governmental Authorization; No Contravention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Information; No Material Adverse 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ERISA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 an Investment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Full Disclosure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ARTICLE IV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CONDITIONS</w:t>
            </w:r>
          </w:p>
        </w:tc>
        <w:tc>
          <w:tcPr>
            <w:tcW w:w="280" w:type="dxa"/>
            <w:vAlign w:val="bottom"/>
          </w:tcPr>
          <w:p>
            <w:pPr>
              <w:spacing w:after="0"/>
              <w:rPr>
                <w:sz w:val="24"/>
                <w:szCs w:val="24"/>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Each Credit Event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Joinder of and Initial Credit Event for each Borrowing Subsidiary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ARTICLE 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COVENANTS</w:t>
            </w:r>
          </w:p>
        </w:tc>
        <w:tc>
          <w:tcPr>
            <w:tcW w:w="280" w:type="dxa"/>
            <w:vAlign w:val="bottom"/>
          </w:tcPr>
          <w:p>
            <w:pPr>
              <w:spacing w:after="0"/>
              <w:rPr>
                <w:sz w:val="24"/>
                <w:szCs w:val="24"/>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 and Maintenance of Existence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Inspection of Property, Books and 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Coverage Ratio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Negative Pledge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Consolidations, Mergers and Sales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 and 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ARTICLE VI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280" w:type="dxa"/>
            <w:vAlign w:val="bottom"/>
          </w:tcPr>
          <w:p>
            <w:pPr>
              <w:spacing w:after="0"/>
              <w:rPr>
                <w:sz w:val="24"/>
                <w:szCs w:val="24"/>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4"/>
        </w:trPr>
        <w:tc>
          <w:tcPr>
            <w:tcW w:w="1400" w:type="dxa"/>
            <w:vAlign w:val="bottom"/>
          </w:tcPr>
          <w:p>
            <w:pPr>
              <w:spacing w:after="0"/>
              <w:rPr>
                <w:sz w:val="24"/>
                <w:szCs w:val="24"/>
                <w:color w:val="auto"/>
              </w:rPr>
            </w:pPr>
          </w:p>
        </w:tc>
        <w:tc>
          <w:tcPr>
            <w:tcW w:w="92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ARTICLE VII</w:t>
            </w:r>
          </w:p>
        </w:tc>
        <w:tc>
          <w:tcPr>
            <w:tcW w:w="32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THE AGENT</w:t>
            </w:r>
          </w:p>
        </w:tc>
        <w:tc>
          <w:tcPr>
            <w:tcW w:w="320" w:type="dxa"/>
            <w:vAlign w:val="bottom"/>
          </w:tcPr>
          <w:p>
            <w:pPr>
              <w:spacing w:after="0"/>
              <w:rPr>
                <w:sz w:val="24"/>
                <w:szCs w:val="24"/>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 and Affiliates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Action by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Consultation with Experts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 of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Acknowledgments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Arrangers, Syndication Agent and Documentation Agents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 Designees and Sub-Agents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Bankruptcy or Similar Process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ERISA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Erroneous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Posting of Communications; Approved Borrower Portal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1400" w:type="dxa"/>
            <w:vAlign w:val="bottom"/>
          </w:tcPr>
          <w:p>
            <w:pPr>
              <w:spacing w:after="0"/>
              <w:rPr>
                <w:sz w:val="24"/>
                <w:szCs w:val="24"/>
                <w:color w:val="auto"/>
              </w:rPr>
            </w:pPr>
          </w:p>
        </w:tc>
        <w:tc>
          <w:tcPr>
            <w:tcW w:w="924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ARTICLE VIII</w:t>
            </w:r>
          </w:p>
        </w:tc>
        <w:tc>
          <w:tcPr>
            <w:tcW w:w="32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4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GUARANTEE</w:t>
            </w:r>
          </w:p>
        </w:tc>
        <w:tc>
          <w:tcPr>
            <w:tcW w:w="32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4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ARTICLE IX</w:t>
            </w:r>
          </w:p>
        </w:tc>
        <w:tc>
          <w:tcPr>
            <w:tcW w:w="32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24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MISCELLANEOUS</w:t>
            </w:r>
          </w:p>
        </w:tc>
        <w:tc>
          <w:tcPr>
            <w:tcW w:w="320" w:type="dxa"/>
            <w:vAlign w:val="bottom"/>
          </w:tcPr>
          <w:p>
            <w:pPr>
              <w:spacing w:after="0"/>
              <w:rPr>
                <w:sz w:val="24"/>
                <w:szCs w:val="24"/>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Waivers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Indemnification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and Waivers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 and Assigns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Submission to Jurisdiction; Consent to Service of Process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Currencies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Limitation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Fiduciary Relationship</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Non-Public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Setoff</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Existing Five-Year Credit Agreement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Schedules</w:t>
            </w:r>
          </w:p>
        </w:tc>
        <w:tc>
          <w:tcPr>
            <w:tcW w:w="520" w:type="dxa"/>
            <w:vAlign w:val="bottom"/>
          </w:tcPr>
          <w:p>
            <w:pPr>
              <w:spacing w:after="0"/>
              <w:rPr>
                <w:sz w:val="17"/>
                <w:szCs w:val="17"/>
                <w:color w:val="auto"/>
              </w:rPr>
            </w:pPr>
          </w:p>
        </w:tc>
        <w:tc>
          <w:tcPr>
            <w:tcW w:w="9720" w:type="dxa"/>
            <w:vAlign w:val="bottom"/>
          </w:tcPr>
          <w:p>
            <w:pPr>
              <w:spacing w:after="0"/>
              <w:rPr>
                <w:sz w:val="17"/>
                <w:szCs w:val="17"/>
                <w:color w:val="auto"/>
              </w:rPr>
            </w:pPr>
          </w:p>
        </w:tc>
      </w:tr>
      <w:tr>
        <w:trPr>
          <w:trHeight w:val="32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w:t>
            </w:r>
          </w:p>
        </w:tc>
      </w:tr>
      <w:tr>
        <w:trPr>
          <w:trHeight w:val="23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2.19</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 Subsidiary Approved Jurisdictions</w:t>
            </w:r>
          </w:p>
        </w:tc>
      </w:tr>
      <w:tr>
        <w:trPr>
          <w:trHeight w:val="283"/>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Exhibits</w:t>
            </w:r>
          </w:p>
        </w:tc>
        <w:tc>
          <w:tcPr>
            <w:tcW w:w="640" w:type="dxa"/>
            <w:vAlign w:val="bottom"/>
            <w:gridSpan w:val="2"/>
          </w:tcPr>
          <w:p>
            <w:pPr>
              <w:spacing w:after="0"/>
              <w:rPr>
                <w:sz w:val="24"/>
                <w:szCs w:val="24"/>
                <w:color w:val="auto"/>
              </w:rPr>
            </w:pPr>
          </w:p>
        </w:tc>
        <w:tc>
          <w:tcPr>
            <w:tcW w:w="9720" w:type="dxa"/>
            <w:vAlign w:val="bottom"/>
          </w:tcPr>
          <w:p>
            <w:pPr>
              <w:spacing w:after="0"/>
              <w:rPr>
                <w:sz w:val="24"/>
                <w:szCs w:val="24"/>
                <w:color w:val="auto"/>
              </w:rPr>
            </w:pPr>
          </w:p>
        </w:tc>
      </w:tr>
      <w:tr>
        <w:trPr>
          <w:trHeight w:val="32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B-1</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Borrowing Subsidiary Agreement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B-2</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Borrowing Subsidiary Termination</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Accession Agreement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E-1</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 for Non-U.S. Lenders that are not Partnerships for U.S. Federal Income Tax Purposes</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E-2</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Form of U.S. Tax Compliance Certificate for Non-U.S. Participants that are not Partnerships for U.S. Federal Income Tax Purposes</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E-3</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 for Non-U.S. Participants that are Partnerships for U.S. Federal Income Tax Purposes</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E-4</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U.S. Tax Compliance Certificate for Non-U.S. Lenders that are Partnerships for U.S. Federal Income Tax Purposes</w:t>
            </w:r>
          </w:p>
        </w:tc>
      </w:tr>
      <w:tr>
        <w:trPr>
          <w:trHeight w:val="23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Borrowing Subsidiary Opinion</w:t>
            </w:r>
          </w:p>
        </w:tc>
      </w:tr>
    </w:tbl>
    <w:p>
      <w:pPr>
        <w:ind w:left="260"/>
        <w:spacing w:after="0"/>
        <w:rPr>
          <w:sz w:val="20"/>
          <w:szCs w:val="20"/>
          <w:color w:val="auto"/>
        </w:rPr>
        <w:sectPr>
          <w:pgSz w:w="11900" w:h="16838" w:orient="portrait"/>
          <w:cols w:equalWidth="0" w:num="1">
            <w:col w:w="11000"/>
          </w:cols>
          <w:pgMar w:left="440" w:top="257"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FIVE-YEAR CREDIT AGREEMENT dated as of April 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DOVER CORPORATION, the BORROWING SUBSIDIARIES from time to time party hereto, the LENDERS party hereto and JPMORGAN CHASE BANK, N.A., as administrative agent.</w:t>
      </w:r>
    </w:p>
    <w:p>
      <w:pPr>
        <w:spacing w:after="0" w:line="176"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(such term, and each other capitalized term used and not otherwise defined in these recitals having the meaning assigned to it in Article I) has requested the Lenders and the Issuing Banks to extend credit to enable the Borrowers to borrow on a revolving credit basis and obtain Letters of Credit on and after the date hereof and at any time and from time to time prior to the Maturity Date in an aggregate amount not in excess of the US Dollar Equivalent of US$1,500,000,000 at any time outstanding. The proceeds of borrowings hereunder are to be used for working capital and general corporate purposes.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Lenders and the Issuing Banks are willing to extend such credit to the Borrowers on the terms and subject to the conditions herein set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forth.</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as used herein, have the following meanings:</w:t>
      </w:r>
    </w:p>
    <w:p>
      <w:pPr>
        <w:spacing w:after="0" w:line="117"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per annum determined by reference to the Alternate Base Rate.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Accession Agreement</w:t>
      </w:r>
      <w:r>
        <w:rPr>
          <w:rFonts w:ascii="Times New Roman" w:cs="Times New Roman" w:eastAsia="Times New Roman" w:hAnsi="Times New Roman"/>
          <w:sz w:val="18"/>
          <w:szCs w:val="18"/>
          <w:color w:val="auto"/>
        </w:rPr>
        <w:t>” has the meaning set forth in Section 2.07(d).</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acquisition, or a series of related acquisitions, by the Company or any Subsidiary of (a) Equity Interests in any Person that is not the Company or a Subsidiary if, after giving effect thereto, such Person will become a Subsidiary (or will be merged with or into the Company or any Subsidiary) or (b) assets comprising all or substantially all the assets of (or all or substantially all the assets constituting a business unit, division, product line or line of business of) any Person.</w:t>
      </w:r>
    </w:p>
    <w:p>
      <w:pPr>
        <w:spacing w:after="0" w:line="180"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CORRA</w:t>
      </w:r>
      <w:r>
        <w:rPr>
          <w:rFonts w:ascii="Times New Roman" w:cs="Times New Roman" w:eastAsia="Times New Roman" w:hAnsi="Times New Roman"/>
          <w:sz w:val="18"/>
          <w:szCs w:val="18"/>
          <w:color w:val="auto"/>
        </w:rPr>
        <w:t xml:space="preserve">” means an interest rate per annum equal to (a) the Daily Simple CORRA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0.29547%;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CORRA as so determined would be less than zero, such rate shall be deemed to be zero for the purposes of this Agreement.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Term CORRA</w:t>
      </w:r>
      <w:r>
        <w:rPr>
          <w:rFonts w:ascii="Times New Roman" w:cs="Times New Roman" w:eastAsia="Times New Roman" w:hAnsi="Times New Roman"/>
          <w:sz w:val="17"/>
          <w:szCs w:val="17"/>
          <w:color w:val="auto"/>
        </w:rPr>
        <w:t>” means, with respect to any Term CORRA Borrowing for any Interest Period, an interest rate per annum equal to</w:t>
      </w:r>
    </w:p>
    <w:p>
      <w:pPr>
        <w:spacing w:after="0" w:line="39" w:lineRule="exact"/>
        <w:rPr>
          <w:sz w:val="20"/>
          <w:szCs w:val="20"/>
          <w:color w:val="auto"/>
        </w:rPr>
      </w:pPr>
    </w:p>
    <w:p>
      <w:pPr>
        <w:jc w:val="both"/>
        <w:ind w:left="4" w:right="280" w:hanging="4"/>
        <w:spacing w:after="0" w:line="255"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CORRA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(i) 0.29547%, in the case of an Interest Period of one month or (ii) 0.32138%, in the case of an Interest Period of three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CORRA as so determined shall be less than zero, such rate shall be deemed to be zero.</w:t>
      </w:r>
    </w:p>
    <w:p>
      <w:pPr>
        <w:sectPr>
          <w:pgSz w:w="11900" w:h="16838" w:orient="portrait"/>
          <w:cols w:equalWidth="0" w:num="1">
            <w:col w:w="11004"/>
          </w:cols>
          <w:pgMar w:left="436" w:top="270" w:right="459" w:bottom="1440" w:gutter="0" w:footer="0" w:header="0"/>
        </w:sectPr>
      </w:pPr>
    </w:p>
    <w:bookmarkStart w:id="11" w:name="page12"/>
    <w:bookmarkEnd w:id="11"/>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the form supplied by the Agent to the Company or any Lender, as the context requires.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at any time, with respect to a specified Person, another Person that directly, or indirectly through one or more intermediaries, Controls or is Controlled by or is under common Control with the Person specified at such time.</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JPMorgan in its capacity as administrative agent for the Lenders hereunder, and its successors in such capacity, together with, to the extent provided in Section 7.09, any Agent Designee. Unless the context requires otherwise, the term “Agent” shall include any Affiliate or branch of JPMorgan through which JPMorgan shall perform any of its obligations in such capacity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Designee</w:t>
      </w:r>
      <w:r>
        <w:rPr>
          <w:rFonts w:ascii="Times New Roman" w:cs="Times New Roman" w:eastAsia="Times New Roman" w:hAnsi="Times New Roman"/>
          <w:sz w:val="18"/>
          <w:szCs w:val="18"/>
          <w:color w:val="auto"/>
        </w:rPr>
        <w:t>” has the meaning set forth in Section 7.09.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US Dollars and each Designated Foreign Currency.</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LC Currency</w:t>
      </w:r>
      <w:r>
        <w:rPr>
          <w:rFonts w:ascii="Times New Roman" w:cs="Times New Roman" w:eastAsia="Times New Roman" w:hAnsi="Times New Roman"/>
          <w:sz w:val="18"/>
          <w:szCs w:val="18"/>
          <w:color w:val="auto"/>
        </w:rPr>
        <w:t>” means, as to each Issuing Bank, any currency (other than US Dollars or a Designated Foreign Currency) approved in writing by such Issuing Bank and the Agent, so long as such other currency is freely traded and convertible into US Dollars in the London or other offshore interbank market for such currency and a US Dollar Equivalent thereof can be calculated.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set forth in Section 9.11(b).</w:t>
      </w:r>
    </w:p>
    <w:p>
      <w:pPr>
        <w:spacing w:after="0" w:line="225" w:lineRule="exact"/>
        <w:rPr>
          <w:sz w:val="20"/>
          <w:szCs w:val="20"/>
          <w:color w:val="auto"/>
        </w:rPr>
      </w:pPr>
    </w:p>
    <w:p>
      <w:pPr>
        <w:ind w:right="60" w:firstLine="991"/>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per annum and (c) the Term SOFR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per annum. For purposes of clause (c) above, the Term SOFR on any day shall be based on the Term SOFR Reference Rate at approximately 5:00 a.m., Chicago time, on such day (or any amended publication time for the Term SOFR Reference Rate, as specified by the CME Term SOFR Administrator in the Term SOFR Reference Rate methodology);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shall be less than zero, such rate shall be deemed to be zero. Any change in the Alternate Base Rate due to a change in the Prime Rate, the NYFRB Rate or the Term SOFR shall be effective from and including the effective date of such change in the Prime Rate, the NYFRB Rate or the Term SOFR, as the case may be. If the Alternate Base Rate is being used as an alternate rate of</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2" w:name="page13"/>
    <w:bookmarkEnd w:id="12"/>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pursuant to Section 2.12 (for the avoidance of doubt, only until the Benchmark Replacement with respect to Term SOFR has been determined pursuant to Section 2.12(b)), then the Alternate Base Rate shall be the greater of clauses (a) and (b) above and shall be determined without reference to clause (c) above. If the Alternate Base Rate, determined as set forth above, would be less than 1.00%, such rate shall be deemed to be 1.00% for purposes of this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9.08(b).</w:t>
      </w:r>
    </w:p>
    <w:p>
      <w:pPr>
        <w:spacing w:after="0" w:line="225"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the U.K. Bribery Act 2010 and all other laws, rules, and regulations of any jurisdiction applicable to the Company and its Subsidiaries concerning or relating to bribery, money laundering or corruption.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has the meaning set forth in Section 9.11(b).</w:t>
      </w:r>
    </w:p>
    <w:p>
      <w:pPr>
        <w:spacing w:after="0" w:line="225"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Funding Account</w:t>
      </w:r>
      <w:r>
        <w:rPr>
          <w:rFonts w:ascii="Times New Roman" w:cs="Times New Roman" w:eastAsia="Times New Roman" w:hAnsi="Times New Roman"/>
          <w:sz w:val="18"/>
          <w:szCs w:val="18"/>
          <w:color w:val="auto"/>
        </w:rPr>
        <w:t>” means, as to each Borrower, the applicable account that shall be specified in a written notice signed by a Financial Officer of such Borrower and delivered to and approved by the Agent.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set forth in Section 7.13(c).</w:t>
      </w:r>
    </w:p>
    <w:p>
      <w:pPr>
        <w:spacing w:after="0" w:line="225" w:lineRule="exact"/>
        <w:rPr>
          <w:sz w:val="20"/>
          <w:szCs w:val="20"/>
          <w:color w:val="auto"/>
        </w:rPr>
      </w:pPr>
    </w:p>
    <w:p>
      <w:pPr>
        <w:ind w:left="4"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means, for any day, with respect to any Term Benchmark Loan, any RFR Loan or any ABR Loan or the facility fees payable hereunder, as the case may be, the applicable rate per annum set forth below under the caption “Term Benchmark/RFR Spread”, “ABR Spread” or “Facility Fee Rate”, as the case may be, based upon the ratings by S&amp;P and Moody’s, respectively, applicable on such date to the Index Debt:</w:t>
      </w:r>
    </w:p>
    <w:p>
      <w:pPr>
        <w:spacing w:after="0" w:line="168"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Index Debt Ratings</w:t>
            </w:r>
          </w:p>
        </w:tc>
        <w:tc>
          <w:tcPr>
            <w:tcW w:w="1880" w:type="dxa"/>
            <w:vAlign w:val="bottom"/>
            <w:vMerge w:val="restart"/>
          </w:tcPr>
          <w:p>
            <w:pPr>
              <w:spacing w:after="0"/>
              <w:rPr>
                <w:sz w:val="13"/>
                <w:szCs w:val="13"/>
                <w:color w:val="auto"/>
              </w:rPr>
            </w:pPr>
          </w:p>
        </w:tc>
        <w:tc>
          <w:tcPr>
            <w:tcW w:w="32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Term Benchmark/RFR</w:t>
            </w:r>
          </w:p>
        </w:tc>
        <w:tc>
          <w:tcPr>
            <w:tcW w:w="14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ABR Spread</w:t>
            </w:r>
          </w:p>
        </w:tc>
        <w:tc>
          <w:tcPr>
            <w:tcW w:w="1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Facility Fee Rate</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gridSpan w:val="3"/>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760" w:type="dxa"/>
            <w:vAlign w:val="bottom"/>
            <w:gridSpan w:val="2"/>
          </w:tcPr>
          <w:p>
            <w:pPr>
              <w:jc w:val="right"/>
              <w:ind w:right="900"/>
              <w:spacing w:after="0" w:line="158" w:lineRule="exact"/>
              <w:rPr>
                <w:sz w:val="20"/>
                <w:szCs w:val="20"/>
                <w:color w:val="auto"/>
              </w:rPr>
            </w:pPr>
            <w:r>
              <w:rPr>
                <w:rFonts w:ascii="Times New Roman" w:cs="Times New Roman" w:eastAsia="Times New Roman" w:hAnsi="Times New Roman"/>
                <w:sz w:val="14"/>
                <w:szCs w:val="14"/>
                <w:color w:val="auto"/>
              </w:rPr>
              <w:t>Spread</w:t>
            </w:r>
          </w:p>
        </w:tc>
        <w:tc>
          <w:tcPr>
            <w:tcW w:w="1480" w:type="dxa"/>
            <w:vAlign w:val="bottom"/>
            <w:gridSpan w:val="3"/>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0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Category 1</w:t>
            </w:r>
          </w:p>
        </w:tc>
        <w:tc>
          <w:tcPr>
            <w:tcW w:w="220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52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A2/A or higher</w:t>
            </w:r>
          </w:p>
        </w:tc>
        <w:tc>
          <w:tcPr>
            <w:tcW w:w="3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0.680%</w:t>
            </w: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0.070%</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2</w:t>
            </w:r>
          </w:p>
        </w:tc>
        <w:tc>
          <w:tcPr>
            <w:tcW w:w="2200" w:type="dxa"/>
            <w:vAlign w:val="bottom"/>
            <w:gridSpan w:val="3"/>
          </w:tcPr>
          <w:p>
            <w:pPr>
              <w:spacing w:after="0"/>
              <w:rPr>
                <w:sz w:val="15"/>
                <w:szCs w:val="15"/>
                <w:color w:val="auto"/>
              </w:rPr>
            </w:pPr>
          </w:p>
        </w:tc>
        <w:tc>
          <w:tcPr>
            <w:tcW w:w="1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A3/A-</w:t>
            </w:r>
          </w:p>
        </w:tc>
        <w:tc>
          <w:tcPr>
            <w:tcW w:w="3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0.795%</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0.000%</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0.080%</w:t>
            </w:r>
          </w:p>
        </w:tc>
        <w:tc>
          <w:tcPr>
            <w:tcW w:w="0" w:type="dxa"/>
            <w:vAlign w:val="bottom"/>
          </w:tcPr>
          <w:p>
            <w:pPr>
              <w:spacing w:after="0"/>
              <w:rPr>
                <w:sz w:val="1"/>
                <w:szCs w:val="1"/>
                <w:color w:val="auto"/>
              </w:rPr>
            </w:pPr>
          </w:p>
        </w:tc>
      </w:tr>
      <w:tr>
        <w:trPr>
          <w:trHeight w:val="176"/>
        </w:trPr>
        <w:tc>
          <w:tcPr>
            <w:tcW w:w="8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3</w:t>
            </w:r>
          </w:p>
        </w:tc>
        <w:tc>
          <w:tcPr>
            <w:tcW w:w="2180" w:type="dxa"/>
            <w:vAlign w:val="bottom"/>
            <w:tcBorders>
              <w:bottom w:val="single" w:sz="8" w:color="CCEEFF"/>
            </w:tcBorders>
            <w:gridSpan w:val="2"/>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Baa1/BBB+</w:t>
            </w:r>
          </w:p>
        </w:tc>
        <w:tc>
          <w:tcPr>
            <w:tcW w:w="3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0.910%</w:t>
            </w: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0.090%</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4</w:t>
            </w:r>
          </w:p>
        </w:tc>
        <w:tc>
          <w:tcPr>
            <w:tcW w:w="2200" w:type="dxa"/>
            <w:vAlign w:val="bottom"/>
            <w:gridSpan w:val="3"/>
          </w:tcPr>
          <w:p>
            <w:pPr>
              <w:spacing w:after="0"/>
              <w:rPr>
                <w:sz w:val="15"/>
                <w:szCs w:val="15"/>
                <w:color w:val="auto"/>
              </w:rPr>
            </w:pPr>
          </w:p>
        </w:tc>
        <w:tc>
          <w:tcPr>
            <w:tcW w:w="1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Baa2/BBB</w:t>
            </w:r>
          </w:p>
        </w:tc>
        <w:tc>
          <w:tcPr>
            <w:tcW w:w="3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1.015%</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0.015%</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0.110%</w:t>
            </w: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5</w:t>
            </w:r>
          </w:p>
        </w:tc>
        <w:tc>
          <w:tcPr>
            <w:tcW w:w="2180" w:type="dxa"/>
            <w:vAlign w:val="bottom"/>
            <w:tcBorders>
              <w:bottom w:val="single" w:sz="8" w:color="CCEEFF"/>
            </w:tcBorders>
            <w:gridSpan w:val="2"/>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Baa3/BBB- or lower</w:t>
            </w:r>
          </w:p>
        </w:tc>
        <w:tc>
          <w:tcPr>
            <w:tcW w:w="3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1.100%</w:t>
            </w: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0.100%</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For purposes of the foregoing, (i) if either Moody’s or S&amp;P shall not have in effect a rating for the Index Debt (other than by reason of the circumstances referred to in the last sentence of this definition), then such rating agency shall be deemed to have established a rating in Category 5,</w:t>
      </w:r>
    </w:p>
    <w:p>
      <w:pPr>
        <w:ind w:left="4" w:right="440" w:hanging="4"/>
        <w:spacing w:after="0" w:line="260"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ratings established or deemed to have been established by Moody’s and S&amp;P for the Index Debt shall fall within different categories, the Applicable Rate shall be based on the higher</w:t>
      </w:r>
    </w:p>
    <w:p>
      <w:pPr>
        <w:spacing w:after="0" w:line="1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two ratings, unless one of the two ratings is two or more categories lower than the other, in which case the Applicable Rate shall be determined by reference to the category next below that of the higher of the two ratings and (iii) if the ratings established or deemed to have been established by Moody’s and S&amp;P for the Index Debt shall be changed (other than as a result of a change in the rating system of Moody’s or S&amp;P), such change shall be effective as of the third Business Day following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88"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Designated Foreign Currency, the local time in the place of settlement for such Designated Foreign Currency as may be determined by the Agent to be necessary for timely settlement on the relevant date in accordance with normal banking procedures in the place of payment.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means any electronic platform chosen by the Agent to be its electronic transmission system.</w:t>
      </w:r>
    </w:p>
    <w:p>
      <w:pPr>
        <w:spacing w:after="0" w:line="225" w:lineRule="exact"/>
        <w:rPr>
          <w:sz w:val="20"/>
          <w:szCs w:val="20"/>
          <w:color w:val="auto"/>
        </w:rPr>
      </w:pPr>
    </w:p>
    <w:p>
      <w:pPr>
        <w:ind w:right="260" w:firstLine="991"/>
        <w:spacing w:after="0" w:line="21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means IntraLinks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DebtDomain, SyndTrak, ClearPar or any other electronic platform chosen by the Agent to be its electronic transmission system.</w:t>
      </w:r>
    </w:p>
    <w:p>
      <w:pPr>
        <w:spacing w:after="0" w:line="199" w:lineRule="exact"/>
        <w:rPr>
          <w:sz w:val="20"/>
          <w:szCs w:val="20"/>
          <w:color w:val="auto"/>
        </w:rPr>
      </w:pPr>
    </w:p>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or a holding company, investment vehicle or trust for, or owned and operated for the primary benefit of, a natural person) that is engaged in making, purchasing, holding or investing in commercial loans and similar extensions of credit in the ordinary course of its business and that is administered or managed by (a) a Lender, (b) an Affiliate of a Lender or (c) an entity or an Affiliate of an entity that administers or manages a Lender.</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JPMorgan Chase Bank, N.A., BofA Securities, Inc., HSBC Bank USA, National Association and ING Bank N.V., Dublin Branch, in their capacities as the joint lead arrangers and joint bookrunners for the credit facility provided for herein.</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Person whose consent is required by Section 9.05, and accepted by the Agent, in the form of Exhibit A or any other form (including electronic records generated by the use of an electronic platform) approved by the Agent.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4" w:name="page15"/>
    <w:bookmarkEnd w:id="14"/>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for any Agreed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2.12(b)(iv)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Legislation</w:t>
      </w:r>
      <w:r>
        <w:rPr>
          <w:rFonts w:ascii="Times New Roman" w:cs="Times New Roman" w:eastAsia="Times New Roman" w:hAnsi="Times New Roman"/>
          <w:sz w:val="17"/>
          <w:szCs w:val="17"/>
          <w:color w:val="auto"/>
        </w:rPr>
        <w:t>” means (a) with respect to any EEA Member Country implementing Article 55 of Directive 2014/59/EU of the European Parliament and of the Council of the European Union, the implementing law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that such Person has become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Bankruptcy Event shall not result solely by virtue of (i) any ownership interest, or the acquisition of any ownership interest, in such Person by a Governmental Authority or (ii) in the case of a solvent Lender, the precautionary appointment of an administrator, guardian, custodian or other similar official by a Governmental Authority under or based on the law of the country where such Lender is subject to home jurisdiction supervision if applicable law requires that such appointment not be publicly disclosed, in any such case where such action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19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Loan denominated in any Agreed Currency, the Relevant Rate for Loans denominated in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 w:name="page16"/>
    <w:bookmarkEnd w:id="15"/>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 Designated Foreign Currency (other than Canadian Dollars), “Benchmark Replacement” shall mean the alternative set forth in clause (2) below:</w:t>
      </w:r>
    </w:p>
    <w:p>
      <w:pPr>
        <w:spacing w:after="0" w:line="68" w:lineRule="exact"/>
        <w:rPr>
          <w:sz w:val="20"/>
          <w:szCs w:val="20"/>
          <w:color w:val="auto"/>
        </w:rPr>
      </w:pPr>
    </w:p>
    <w:p>
      <w:pPr>
        <w:ind w:right="600" w:firstLine="987"/>
        <w:spacing w:after="0" w:line="282"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any Loan denominated in US Dollars, the Daily Simple SOFR and (b) in the case of any Loan denominated in Canadian Dollars, the Adjusted Daily Simple CORRA; or</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and/or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83"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in the case of any Loan denominated in Canadian Dollars, shall revert to and shall be deemed to be the Adjusted Term CORRA.</w:t>
      </w:r>
    </w:p>
    <w:p>
      <w:pPr>
        <w:spacing w:after="0" w:line="176" w:lineRule="exact"/>
        <w:rPr>
          <w:sz w:val="20"/>
          <w:szCs w:val="20"/>
          <w:color w:val="auto"/>
        </w:rPr>
      </w:pPr>
    </w:p>
    <w:p>
      <w:pPr>
        <w:ind w:right="96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Agent and the Company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6" w:name="page17"/>
    <w:bookmarkEnd w:id="16"/>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Term SOFR Loan or Term CORRA Loan, any technical, administrative or operational changes (including changes to the definition of “Alternate Base Rate”, the definition of “Business Day”, the definition of “Foreign Currency Overnight Rate”, the definition of “Interest Period”, the definition of “RFR Business Day”, the definition of “U.S. Government Securities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determines in its reasonable discretion may be appropriate to reflect the adoption and implementation of such Benchmark and to permit the administration thereof by the Agent in a manner substantially consistent with market practice (or, if the Agent determines that adoption of any portion of such market practice is not administratively feasible or if the Agent determines that no market practice for the administration of the Benchmark exists, in such other manner of administration as the Agent determines is reasonably necessary in connection with the administration of this Agreement and the other Loan Documents).</w:t>
      </w:r>
    </w:p>
    <w:p>
      <w:pPr>
        <w:spacing w:after="0" w:line="19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ind w:left="440" w:right="4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 or</w:t>
      </w:r>
    </w:p>
    <w:p>
      <w:pPr>
        <w:spacing w:after="0" w:line="79"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CORRA Reelection Event, the date that is 30 days after the date a Term CORRA Notice is provided to the Lenders and the Company pursuant to Section 2.12(b)(ii).</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7" w:name="page18"/>
    <w:bookmarkEnd w:id="17"/>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ind w:left="440" w:firstLine="419"/>
        <w:spacing w:after="0" w:line="258"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w:t>
      </w:r>
    </w:p>
    <w:p>
      <w:pPr>
        <w:spacing w:after="0" w:line="75"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of Governors, the NYFRB, the CME Term SOFR Administrator, the CORRA Administrator, the central bank for the Agreed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in each case, which states that the administrator of such Benchmark (or such component thereof)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86" w:lineRule="exact"/>
        <w:rPr>
          <w:rFonts w:ascii="Times New Roman" w:cs="Times New Roman" w:eastAsia="Times New Roman" w:hAnsi="Times New Roman"/>
          <w:sz w:val="18"/>
          <w:szCs w:val="18"/>
          <w:color w:val="auto"/>
        </w:rPr>
      </w:pPr>
    </w:p>
    <w:p>
      <w:pPr>
        <w:ind w:left="440" w:right="40" w:firstLine="419"/>
        <w:spacing w:after="0" w:line="289" w:lineRule="auto"/>
        <w:tabs>
          <w:tab w:leader="none" w:pos="111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5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Benchmark, the period (if any) (a) beginning at the time that a Benchmark Replacement Date has occurred if, at such time, no Benchmark Replacement has replaced such then-current Benchmark for all purposes hereunder and under any other Loan Document in accordance with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and (b) ending at the time that a Benchmark Replacement has replaced such then-current Benchmark for all purposes hereunder and under any other Loan Document in accordance with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8" w:name="page19"/>
    <w:bookmarkEnd w:id="18"/>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Arrangement</w:t>
      </w:r>
      <w:r>
        <w:rPr>
          <w:rFonts w:ascii="Times New Roman" w:cs="Times New Roman" w:eastAsia="Times New Roman" w:hAnsi="Times New Roman"/>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means, with respect to any Person, an “affiliate” (as such term is defined under, and interpreted in accordance with, 12 U.S.C. § 1841(k))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shall mean the Board of Governors of the Federal Reserve System of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w:t>
      </w:r>
      <w:r>
        <w:rPr>
          <w:rFonts w:ascii="Times New Roman" w:cs="Times New Roman" w:eastAsia="Times New Roman" w:hAnsi="Times New Roman"/>
          <w:sz w:val="18"/>
          <w:szCs w:val="18"/>
          <w:color w:val="auto"/>
        </w:rPr>
        <w:t>” means Bank of America, N.A.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or any Borrowing Subsidiary.</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Notice of Borrowing, any Interest Election Request, any notice of prepayment, any notice of termination or reduction of Commitments, any notice requesting the issuance, amendment or extension of any Letter of Credit or any other demand, communication, information, document or other material provided by or on behalf of any of the Borrowers pursuant to this Agreement or the transactions contemplated herein that is distributed by any Borrower to the Agent, including through an Approved Borrower Portal.</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Class, Type and currency made, converted or continued on the same date and to the same Borrower and, in the case of Term Benchmark Loans, as to which a single Interest Period is in effect.</w:t>
      </w:r>
    </w:p>
    <w:p>
      <w:pPr>
        <w:spacing w:after="0" w:line="162"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(a) in the case of a Borrowing denominated in US Dollars, US$10,000,000 and (b) in the case of a Borrowing denominated in any Designated Foreign Currency, the smallest amount of such currency that is an integral multiple of 1,000,000 units of such currency and that has a US Dollar Equivalent in excess of US$10,000,000.</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(a) in the case of a Borrowing denominated in US Dollars, US$1,000,000 and (b) in the case of a Borrowing denominated in any Designated Foreign Currency, 1,000,000 units of such currency.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9" w:name="page20"/>
    <w:bookmarkEnd w:id="19"/>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 Subsidiary</w:t>
      </w:r>
      <w:r>
        <w:rPr>
          <w:rFonts w:ascii="Times New Roman" w:cs="Times New Roman" w:eastAsia="Times New Roman" w:hAnsi="Times New Roman"/>
          <w:sz w:val="18"/>
          <w:szCs w:val="18"/>
          <w:color w:val="auto"/>
        </w:rPr>
        <w:t>” means, at any time, each Subsidiary that has been designated as, and became, a Borrowing Subsidiary pursuant to Section 2.19, and that has not ceased to be a Borrowing Subsidiary as provided in such Section.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 Agreement</w:t>
      </w:r>
      <w:r>
        <w:rPr>
          <w:rFonts w:ascii="Times New Roman" w:cs="Times New Roman" w:eastAsia="Times New Roman" w:hAnsi="Times New Roman"/>
          <w:sz w:val="18"/>
          <w:szCs w:val="18"/>
          <w:color w:val="auto"/>
        </w:rPr>
        <w:t>” means a Borrowing Subsidiary Agreement substantially in the form of Exhibit B-1.</w:t>
      </w:r>
    </w:p>
    <w:p>
      <w:pPr>
        <w:spacing w:after="0" w:line="225"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 Approved Jurisdiction</w:t>
      </w:r>
      <w:r>
        <w:rPr>
          <w:rFonts w:ascii="Times New Roman" w:cs="Times New Roman" w:eastAsia="Times New Roman" w:hAnsi="Times New Roman"/>
          <w:sz w:val="18"/>
          <w:szCs w:val="18"/>
          <w:color w:val="auto"/>
        </w:rPr>
        <w:t>” means any jurisdiction listed on Schedule 2.19 or any other jurisdiction approved in writing by all of the Lenders to be a “Borrowing Subsidiary Approved Jurisdiction”.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Subsidiary Termination</w:t>
      </w:r>
      <w:r>
        <w:rPr>
          <w:rFonts w:ascii="Times New Roman" w:cs="Times New Roman" w:eastAsia="Times New Roman" w:hAnsi="Times New Roman"/>
          <w:sz w:val="18"/>
          <w:szCs w:val="18"/>
          <w:color w:val="auto"/>
        </w:rPr>
        <w:t>” means a Borrowing Subsidiary Termination substantially in the form of Exhibit B-2.</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when used in connection with a Term SOFR Loan and any interest rate settings, fundings, disbursements, settlements or payments of such Term SOFR Loan or any other dealings in respect of Loans referencing the Term SOFR, the term “Business Day” shall also exclude any day that is not a U.S. Government Securities Business Day, (b) when used in connection with any Loan denominated in Euro or the determination of the EURIBO Rate, the term “Business Day” shall also exclude any day that is not a TARGET Day,</w:t>
      </w:r>
    </w:p>
    <w:p>
      <w:pPr>
        <w:spacing w:after="0" w:line="3" w:lineRule="exact"/>
        <w:rPr>
          <w:sz w:val="20"/>
          <w:szCs w:val="20"/>
          <w:color w:val="auto"/>
        </w:rPr>
      </w:pPr>
    </w:p>
    <w:p>
      <w:pPr>
        <w:ind w:left="4" w:right="40" w:hanging="4"/>
        <w:spacing w:after="0" w:line="252"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connection with any Loan denominated in Canadian Dollars or the calculation or computation of Term CORRA or the Canadian Prime Rate, the term “Business Day” shall also exclude any day on which banks are not open for business in Toronto, (d) when used in connection with any Loan denominated in Swedish Kronor or the determination of the STIBO Rate, the term “Business Day” shall also exclude any day on which banks are not open for business in Stockholm and (e) when used in connection with an RFR Loan and any interest rate settings, fundings, disbursements, settlements or payments of such RFR Loan or any other dealings in the applicable currency of such RFR Loan, the term “Business Day” shall also exclude any day that is not an RFR Business Day.</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means the lawful money of Canada.</w:t>
      </w:r>
    </w:p>
    <w:p>
      <w:pPr>
        <w:spacing w:after="0" w:line="225"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xml:space="preserve">” means, on any day, the rate equal to the PRIMCAN Index rate that appears on the Bloomberg screen at 10:15 a.m., Toronto time, on such day (or, in the event that the PRIMCAN Index is not published by Bloomberg, any other information services that publishes such index from time to time, as selected by the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above rate shall be less than 1.00%, such rate shall be deemed to be 1.00% for purposes of this Agreement. Any change in the Canadian Prime Rate due to a change in the PRIMCAN Index shall be effective from and including the effective date of such change in the PRIMCAN Index.</w:t>
      </w:r>
    </w:p>
    <w:p>
      <w:pPr>
        <w:spacing w:after="0" w:line="183"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as applied to any Person, means any lease of any property (whether real, personal or mixed) by such Person as lessee which, in accordance with GAAP, is or should be accounted for as a capital lease or finance lease on the balance sheet of that Person.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has the meaning set forth in Section 2.04(i).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or the Canadian Prime Rate.</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with respect to any CBR Loan at any time, the Applicable Rate that would be applicable at such time to the Loan that was converted into such CBR Loan in accordance herewith.</w:t>
      </w:r>
    </w:p>
    <w:p>
      <w:pPr>
        <w:spacing w:after="0" w:line="162" w:lineRule="exact"/>
        <w:rPr>
          <w:sz w:val="20"/>
          <w:szCs w:val="20"/>
          <w:color w:val="auto"/>
        </w:rPr>
      </w:pPr>
    </w:p>
    <w:p>
      <w:pPr>
        <w:ind w:right="80" w:firstLine="99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Central Bank Rate</w:t>
      </w:r>
      <w:r>
        <w:rPr>
          <w:rFonts w:ascii="Times New Roman" w:cs="Times New Roman" w:eastAsia="Times New Roman" w:hAnsi="Times New Roman"/>
          <w:sz w:val="17"/>
          <w:szCs w:val="17"/>
          <w:color w:val="auto"/>
        </w:rPr>
        <w:t xml:space="preserve">” means the greater of (a)(i)(A) for any Loan denominated in Euro, one of the following three rates as may be selected by the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(B) for any Loan denominated in Sterling, the Bank of England’s (or any successor thereto’s) “Bank Rate” as published by the Bank of England (or any successor thereto) from time to time and (C) for any Loan denominated in any other Designated Foreign Currency, a central bank rate as determined by the Agent in its reasonable discretion;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applicable Central Bank Rate Adjustment and (b) zero.</w:t>
      </w:r>
    </w:p>
    <w:p>
      <w:pPr>
        <w:spacing w:after="0" w:line="17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xml:space="preserve">” means, for any day, (a) for any Loan denominated in Euro, a rate equal to the difference (which may be a positive or negative value or zero) of (i) the average of the EURIBO Rate for the five most recent Business Days preceding such day for which the EURIBO Screen Rate was available (excluding, from such average, the highest and the lowest EURIBO Rate applicable during such period of five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Central Bank Rate in respect of Euro in effect on the last Business Day in such period, (b) for any Loan denominated in Sterling, a rate equal to the difference (which may be a positive or negative value or zero) of (i) the average of Daily Simple SONIA for the five most recent RFR Business Days preceding such day for which Daily Simple SONIA was available (excluding, from such average, the highest and the lowest such Daily Simple SONIA applicable during such period of five RFR Business Days)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Central Bank Rate in respect of Sterling in effect on the last RFR Business Day in such period and (c) for any Loan denominated in any other Designated Foreign Currency, a Central Bank Rate Adjustment as determined by the Agent in its reasonable discretion. For purposes of this definition, (x) the term Central Bank Rate shall be determined disregarding clause (a)(ii) of the definition of such term and (y) the EURIBO Rate on any day shall be based on the EURIBO Screen Rate on such day at approximately the time referred to in the definition of such term for deposits in Euro for a maturity of one month.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1" w:name="page22"/>
    <w:bookmarkEnd w:id="21"/>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Securities and Exchange Commission thereunder as in effect on the Effective Date), of Equity Interests representing more than 30% of either the aggregate ordinary voting power or the aggregate equity value represented by the issued and outstanding Equity Interests of the Company or (b) during any period of 12 consecutive months after the Effective Date, a majority of the members of the board of directors of the Company cease (other than by reason of death or disability) to be composed of individuals (i) who were members of the board on the first day of such period, (ii) whose election, appointment or nomination to the board was approved by individuals referred to in clause (i) above constituting at the time of such election or nomination at least a majority of the board; or (iii) whose election, appointment or nomination to the board was approved by individuals referred to in clauses (i) and/or (ii) above constituting at the time of such election or nomination at least a majority of the board. For purposes of determining a majority of the members of the board of directors, vacant seats shall not be included.</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Effective Date, of any of the following: (a) the adoption or taking effect of any rule, regulation, treaty or other law, (b) any change in any rule, regulation, treaty or other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 Street Reform and Consumer Protection Act and all requests, rules, guidelines or directives thereunder or made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promulgated or issued.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set forth in Section 9.12.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has the meaning set forth in Section 2.16(c).</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Tranche One Loans or Tranche Two Loans, (b) any Commitment, refers to whether such Commitment is a Tranche One Commitment or a Tranche Two Commitment, and (c) any Lender, refers to whether such Lender has a Loan or Commitment of a particular Class.</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the Tranche One Commitments and the Tranche Two Commitments.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22" w:name="page23"/>
    <w:bookmarkEnd w:id="22"/>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Borrower pursuant to any Loan Document or the transactions contemplated therein that is distributed to the Agent, any Lender or any Issuing Bank by means of electronic communications pursuant to Section 9.01, including through an Approved Electronic Platform.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Dover Corporation, a Delaware corporation, and its successors and permitted assigns in accordance with Section 9.05.</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Consolidated Net Income for such period, plus (a) without duplication and to the extent deducted in determining such Consolidated Net Income, the sum of (i) Consolidated Net Interest Expense for such period, (ii) consolidated income tax expense for such period, (iii) all amounts attributable to depreciation and amortization for such period, (iv) any extraordinary non-cash charges for such period and (v) any non-cash charges for such period related to plant closings or other restructurings of operations or to the writedown of assets (excluding, for the avoidance of doubt, any additions to bad debt reserves or bad debt expense and any such non-cash charge to the extent it represents an accrual of or a reserve for cash expenditures in any future period), and minus (b) without duplication and to the extent included in determining such Consolidated Net Income, any extraordinary gains for such period, all determined on a consolidated basis in accordance with GAAP.</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for any period, the net income or loss of the Company and its Consolidated Subsidiaries for such period determined on a consolidated basis in accordance with GAAP (but excluding therefrom any portion thereof attributable to any non-controlling interest in any Consolidated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income of any Consolidated Subsidiary in which any Person (other than the Company or any Subsidiary or any director holding qualifying shares in compliance with applicable law) owns an Equity Interest, except to the extent that the organizational documents and indentures, agreements and other instruments binding upon such Consolidated Subsidiary do not restrict the ability of such Consolidated Subsidiary to declare and pay dividends or other distributions to the Company or any of the Subsidiaries in an amount at least equal to such income, (b) the income or loss of any Person accrued prior to the date it becomes a Consolidated Subsidiary or is merged into or consolidated with the Company or any Consolidated Subsidiary or the date that such Person’s assets are acquired by the Company or any Consolidated Subsidiary and (c) without limiting anything in Section 1.02, the net impact of cumulative changes to GAAP.</w:t>
      </w:r>
    </w:p>
    <w:p>
      <w:pPr>
        <w:spacing w:after="0" w:line="188"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Interest Expense</w:t>
      </w:r>
      <w:r>
        <w:rPr>
          <w:rFonts w:ascii="Times New Roman" w:cs="Times New Roman" w:eastAsia="Times New Roman" w:hAnsi="Times New Roman"/>
          <w:sz w:val="18"/>
          <w:szCs w:val="18"/>
          <w:color w:val="auto"/>
        </w:rPr>
        <w:t>” means, for any period, total interest expense (including that properly attributable to Capital Leases in accordance with GAAP and amortization of debt discount and debt issuance costs) of the Company and its Consolidated Subsidiaries determined on a consolidated basis in accordance with GAAP, including all capitalized interest, all commissions, discounts and other fees and charges owed with respect to letters of credit and bankers’ acceptance financings and net costs under interest rate protection agreements (including amortization of discount) all as determined on a consolidated basis in accordance with GAAP, minus the total interest income of the Company and its Consolidated Subsidiaries for such period determined on a consolidated basis in accordance with GAAP.</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at any date the consolidated total stockholders’ equity of the Company and its Consolidated Subsidiaries determined as of such date on a consolidated basis in accordance with GAAP.</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at any date any Subsidiary or other entity the accounts of which would be consolidated with those of the Company in its consolidated financial statements if such statements were prepared as of such date in accordance with GAAP.</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for a specified Person, the possession, directly or indirectly through one or more intermediaries, of the power to direct or cause the direction of the management or policies of another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Controls</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set forth in Section 9.22(b).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 Tranche One Credit Exposure or a Tranche Two Credit Exposure.</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CORRA</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CORRA Rate Day</w:t>
      </w:r>
      <w:r>
        <w:rPr>
          <w:rFonts w:ascii="Times New Roman" w:cs="Times New Roman" w:eastAsia="Times New Roman" w:hAnsi="Times New Roman"/>
          <w:sz w:val="18"/>
          <w:szCs w:val="18"/>
          <w:color w:val="auto"/>
        </w:rPr>
        <w:t>”), a rate per annum equal to CORRA for the day (such day, “</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five RFR Business Days prior to (a) if such CORRA Rate Day is an RFR Business Day, such CORRA Rate Day or (b)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any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immediately preceding RFR Business Day for which such CORRA was published on the CORRA Administrator’s website, so long as such first preceding RFR Business Day is not more than five Business Days prior to such CORRA Determination Date.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4" w:name="page25"/>
    <w:bookmarkEnd w:id="2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Daily Simple CORRA Borrowing</w:t>
      </w:r>
      <w:r>
        <w:rPr>
          <w:rFonts w:ascii="Times New Roman" w:cs="Times New Roman" w:eastAsia="Times New Roman" w:hAnsi="Times New Roman"/>
          <w:sz w:val="18"/>
          <w:szCs w:val="18"/>
          <w:color w:val="auto"/>
        </w:rPr>
        <w:t>” means a Borrowing comprised of Daily Simple CORRA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CORRA Loan</w:t>
      </w:r>
      <w:r>
        <w:rPr>
          <w:rFonts w:ascii="Times New Roman" w:cs="Times New Roman" w:eastAsia="Times New Roman" w:hAnsi="Times New Roman"/>
          <w:sz w:val="18"/>
          <w:szCs w:val="18"/>
          <w:color w:val="auto"/>
        </w:rPr>
        <w:t>” means a Loan that bears interest at a rate determined by reference to the Adjusted Daily Simple CORRA.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 with respect to any Loan denominated in US Dollars, the Daily Simple SOFR for such day,</w:t>
      </w:r>
    </w:p>
    <w:p>
      <w:pPr>
        <w:spacing w:after="0" w:line="27" w:lineRule="exact"/>
        <w:rPr>
          <w:sz w:val="20"/>
          <w:szCs w:val="20"/>
          <w:color w:val="auto"/>
        </w:rPr>
      </w:pPr>
    </w:p>
    <w:p>
      <w:pPr>
        <w:ind w:left="4" w:right="100" w:hanging="4"/>
        <w:spacing w:after="0" w:line="260"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Loan denominated in Sterling, the Daily Simple SONIA for such day and (c) with respect to any Loan denominated in Canadian Dollars, the Adjusted Daily Simple CORRA for such day.</w:t>
      </w:r>
    </w:p>
    <w:p>
      <w:pPr>
        <w:spacing w:after="0" w:line="181" w:lineRule="exact"/>
        <w:rPr>
          <w:sz w:val="20"/>
          <w:szCs w:val="20"/>
          <w:color w:val="auto"/>
        </w:rPr>
      </w:pPr>
    </w:p>
    <w:p>
      <w:pPr>
        <w:ind w:left="4" w:firstLine="99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SOFR</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u w:val="single" w:color="auto"/>
          <w:color w:val="auto"/>
        </w:rPr>
        <w:t>SOFR Rate Day</w:t>
      </w:r>
      <w:r>
        <w:rPr>
          <w:rFonts w:ascii="Times New Roman" w:cs="Times New Roman" w:eastAsia="Times New Roman" w:hAnsi="Times New Roman"/>
          <w:sz w:val="17"/>
          <w:szCs w:val="17"/>
          <w:color w:val="auto"/>
        </w:rPr>
        <w:t>”), an interest rate per annum equal to SOFR for the day (such day, “</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Determination Date</w:t>
      </w:r>
      <w:r>
        <w:rPr>
          <w:rFonts w:ascii="Times New Roman" w:cs="Times New Roman" w:eastAsia="Times New Roman" w:hAnsi="Times New Roman"/>
          <w:sz w:val="17"/>
          <w:szCs w:val="17"/>
          <w:color w:val="auto"/>
        </w:rPr>
        <w:t xml:space="preserve">”) that is five RFR Business Days prior to (a) if such SOFR Rate Day is an RFR Business Day, such SOFR Rate Day or (b) if such SOFR Rate Day is not an RFR Business Day, the RFR Business Day immediately preceding such SOFR Rate Day, in each case, as such SOFR is published by the SOFR Administrator on the SOFR Administrator’s Website;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Daily Simple SOFR as so determined shall be less than zero, it shall be deemed to be zero. Any change in Daily Simple SOFR due to a change in SOFR shall be effective from and including the effective date of such change in SOFR without notice to any Borrower. If by 5:00 p.m., New York City time, on the second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immediately preceding RFR Business Day for which such SOFR was published on the SOFR Administrator’s Website.</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Borrowing</w:t>
      </w:r>
      <w:r>
        <w:rPr>
          <w:rFonts w:ascii="Times New Roman" w:cs="Times New Roman" w:eastAsia="Times New Roman" w:hAnsi="Times New Roman"/>
          <w:sz w:val="18"/>
          <w:szCs w:val="18"/>
          <w:color w:val="auto"/>
        </w:rPr>
        <w:t>” means a Borrowing comprised of Daily Simple SOFR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Loan</w:t>
      </w:r>
      <w:r>
        <w:rPr>
          <w:rFonts w:ascii="Times New Roman" w:cs="Times New Roman" w:eastAsia="Times New Roman" w:hAnsi="Times New Roman"/>
          <w:sz w:val="18"/>
          <w:szCs w:val="18"/>
          <w:color w:val="auto"/>
        </w:rPr>
        <w:t>” means a Loan that bears interest at a rate determined by reference to the Daily Simple SOFR.</w:t>
      </w:r>
    </w:p>
    <w:p>
      <w:pPr>
        <w:spacing w:after="0" w:line="225"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SONIA</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SONIA Rate Day</w:t>
      </w:r>
      <w:r>
        <w:rPr>
          <w:rFonts w:ascii="Times New Roman" w:cs="Times New Roman" w:eastAsia="Times New Roman" w:hAnsi="Times New Roman"/>
          <w:sz w:val="18"/>
          <w:szCs w:val="18"/>
          <w:color w:val="auto"/>
        </w:rPr>
        <w:t>”) with respect to any Loan denominated in Sterling, an interest rate per annum equal to the greater of (a) SONIA for the day that is five RFR Business Days prior to (i) if such SONIA Rate Day is an RFR Business Day, such SONIA Rate Day or (ii) if such SONIA Rate Day is not an RFR Business Day, the RFR Business Day immediately preceding such SONIA Rate Day and (b) zero. Any change in Daily Simple SONIA due to a change in SONIA shall be effective from and including the effective date of such change in SONIA without notice to any Borrower.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5" w:name="page26"/>
    <w:bookmarkEnd w:id="25"/>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in the ordinary course of business, (d) all obligations of such Person as lessee under Capital Leases, (e) all non-contingent obligations of such Person to reimburse any bank or other Person in respect of amounts which, at such date, have been paid under a letter of credit or similar instrument, (f) all Debt secured by a Lien on any asset of such Person, whether or not such Debt is otherwise an obligation of such Person, and (g) all Debt of others Guaranteed by such Person.</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condition or event which constitutes an Event of Default or which with the giving of notice or lapse of time or both would, unless cured or waived, become an Event of Default.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Business Days of the date required to be funded or paid, (i) to fund any portion of its Loans, (ii) to fund any portion of its participations in any Letters of Credit or (iii) to pay to the Agent, any Issuing Bank or any Lender any other amount required to be paid by it hereunder, unless, in the case of clause (i) above, such Lender notifies the Agent in writing that such failure is the result of such Lender’s good faith determination that a condition precedent to funding (specifically identified in such writing, including, if applicable, by reference to a specific Default) has not been satisfied, (b) has notified the Company, the Agent or any Lender or Issuing Bank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written request by the Agent or any Issuing Bank made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such requesting party’s receipt of such certification in form and substance satisfactory to the requesting Person and the Agent, (d) has become the subject of a Bankruptcy Event or (e) has become the subject of a Bail-In Action.</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Foreign Currency</w:t>
      </w:r>
      <w:r>
        <w:rPr>
          <w:rFonts w:ascii="Times New Roman" w:cs="Times New Roman" w:eastAsia="Times New Roman" w:hAnsi="Times New Roman"/>
          <w:sz w:val="18"/>
          <w:szCs w:val="18"/>
          <w:color w:val="auto"/>
        </w:rPr>
        <w:t>” means Euro, Sterling, Canadian Dollars and Swedish Kronor.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Agents</w:t>
      </w:r>
      <w:r>
        <w:rPr>
          <w:rFonts w:ascii="Times New Roman" w:cs="Times New Roman" w:eastAsia="Times New Roman" w:hAnsi="Times New Roman"/>
          <w:sz w:val="18"/>
          <w:szCs w:val="18"/>
          <w:color w:val="auto"/>
        </w:rPr>
        <w:t>” means HSBC and ING, in their capacities as the co-documentation agents for the credit facility provided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organized under the laws of the United States of America, any State thereof or the District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20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member state of the European Union, Iceland, Liechtenstein and Norway.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set forth in Section 4.01 shall be satisfied or waived.</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signature,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 a Lender, (b) an Affiliate of a Lender, (c) an Approved Fund and (d) any other Person, other than, in each case, a natural person (or a holding company, investment vehicle or trust for, or owned and operated for the primary benefit of, a natural person), or the Company or any Subsidiary.</w:t>
      </w:r>
    </w:p>
    <w:p>
      <w:pPr>
        <w:spacing w:after="0" w:line="176" w:lineRule="exact"/>
        <w:rPr>
          <w:sz w:val="20"/>
          <w:szCs w:val="20"/>
          <w:color w:val="auto"/>
        </w:rPr>
      </w:pPr>
    </w:p>
    <w:p>
      <w:pPr>
        <w:ind w:right="2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means any and all federal, state, local and foreign governmental (whether executive, legislative or judicial) statutes, laws, judicial decisions, regulations, ordinances, rules, judgments, orders, decrees, plans, injunctions, permits, concessions, grants, franchises, licenses, agreements and other governmental restrictions relating to the environment, the effect of the environment or exposure to Hazardous Substances on human health or to emissions, discharges or releases of pollutants, contaminants, Hazardous Substances or wastes into the environment including, without limitation, ambient air, surface water, ground water, or land, or otherwise relating to the manufacture, processing, distribution, use, treatment, storage, disposal, transport or handling of pollutants, contaminants, Hazardous Substances or wastes or the clean-up or other remediation thereof.</w:t>
      </w:r>
    </w:p>
    <w:p>
      <w:pPr>
        <w:spacing w:after="0" w:line="173"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interests (other than, prior to the date of conversion, Debt that is convertible into any such Equity Interests).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Group</w:t>
      </w:r>
      <w:r>
        <w:rPr>
          <w:rFonts w:ascii="Times New Roman" w:cs="Times New Roman" w:eastAsia="Times New Roman" w:hAnsi="Times New Roman"/>
          <w:sz w:val="18"/>
          <w:szCs w:val="18"/>
          <w:color w:val="auto"/>
        </w:rPr>
        <w:t>” means the Company, any Consolidated Subsidiary and all members of a controlled group of corporations and all trades or businesses (whether or not incorporated) under common control which, together with the Company or any Consolidated Subsidiary, are treated as a single employer under Section 414(b) or (c) of the Internal Revenue Code.</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Rate</w:t>
      </w:r>
      <w:r>
        <w:rPr>
          <w:rFonts w:ascii="Times New Roman" w:cs="Times New Roman" w:eastAsia="Times New Roman" w:hAnsi="Times New Roman"/>
          <w:sz w:val="18"/>
          <w:szCs w:val="18"/>
          <w:color w:val="auto"/>
        </w:rPr>
        <w:t xml:space="preserve">” means, with respect to any EURIBO Rate Borrowing for any Interest Period, the EURIBO Screen Rate at approximately 11:00 a.m., Brussels time, two TARGET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shall be less than zero, such rate shall be deemed to be zero.</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that takes over the administration of such rate) for the applicable period, as displayed (before any correction, recalculation or republication by the administrator) on the Reuters screen page that displays such rate (currently EURIBOR01) (or, in the event such rate does not appear on a page of the Reuters screen, on the appropriate page of such other information service that publishes such rate as shall be selected by the Agent from time to time in its reasonable discretion).</w:t>
      </w:r>
    </w:p>
    <w:p>
      <w:pPr>
        <w:spacing w:after="0" w:line="183"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EURIBO Rate.</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member states of the European Union that have adopted a single currency in accordance with applicable law or treaty.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on any day, for purposes of determining the US Dollar Equivalent of an amount denominated in any currency other than US Dollars, the rate at which such other currency may be exchanged into US Dollars at the time of determination on such day as last provided (either by publication or as may otherwise be provided to the Agent) by the applicable Reuters source on the Business Day (determined based on New York City time) immediately preceding such day of determination (or, if a Reuters source ceases to be available or Reuters ceases to provide such rate of exchange, as last provided by such other publicly available information service that provides such rate of exchange at such time as shall be selected by the Agent from time to time in its reasonable discretion). Notwithstanding the foregoing provisions of this definition or the definition of “US Dollar Equivalent”, each Issuing Bank may, solely for purposes of computing the reimbursement due to it pursuant to clause (B) of Section 2.04(f) or the fronting fees owed to it under Section 2.10(b), compute the US Dollar amounts of the LC Exposures attributable to Letters of Credit issued by it by reference to exchange rates determined using any reasonable method customarily employed by it for such purpose.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left="4" w:right="120"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Exchange Rate Date</w:t>
      </w:r>
      <w:r>
        <w:rPr>
          <w:rFonts w:ascii="Times New Roman" w:cs="Times New Roman" w:eastAsia="Times New Roman" w:hAnsi="Times New Roman"/>
          <w:sz w:val="17"/>
          <w:szCs w:val="17"/>
          <w:color w:val="auto"/>
        </w:rPr>
        <w:t>” means (a) with respect to any Loan denominated in a Designated Foreign Currency, each of (i) the date of the borrowing of such Loan and (ii)(A)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date of the borrowing of, or conversion to, such Loan (or, if there is no such numerically corresponding day in such month, then the last day of such month), (b) with respect to any Letter of Credit denominated in a Designated Foreign Currency or an Agreed LC Currency, each of</w:t>
      </w:r>
    </w:p>
    <w:p>
      <w:pPr>
        <w:spacing w:after="0" w:line="3" w:lineRule="exact"/>
        <w:rPr>
          <w:sz w:val="20"/>
          <w:szCs w:val="20"/>
          <w:color w:val="auto"/>
        </w:rPr>
      </w:pPr>
    </w:p>
    <w:p>
      <w:pPr>
        <w:jc w:val="both"/>
        <w:ind w:left="4" w:right="260" w:hanging="4"/>
        <w:spacing w:after="0" w:line="253"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Letter of Credit is issued, (ii) the first Business Day of each calendar month commencing after the date of issuance of such Letter of Credit and (iii) the date of any amendment of such Letter of Credit that has the effect of increasing the amount thereof and (c) if an Event of Default has occurred and is continuing, any other Business Day designated as an Exchange Rate Date by the Agent in its sole discretion or upon instruction of the Required Lenders.</w:t>
      </w:r>
    </w:p>
    <w:p>
      <w:pPr>
        <w:spacing w:after="0" w:line="189"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ind w:left="4" w:right="200" w:hanging="4"/>
        <w:spacing w:after="0" w:line="252"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U.S. federal withholding Taxes imposed on amounts payable to or for the account of such Lender with respect to an applicable interest in a Loan or Commitment or under any Loan Document pursuant to a law in effect on the date on which (i) such Lender becomes a party hereto (other than pursuant to an assignment requested by the Company under Section 2.17(b)) or (ii) such Lender changes its lending office, except in each case to the extent that, pursuant to Section 2.15, amounts with respect to such Taxes were payable either to such Lender’s assignor immediately before such Lender acquired the applicable interest in such Loan or Commitment or to such Lender immediately before it changed its lending office, (c) Taxes attributable to such Recipient’s failure to comply with Section 2.15(f) and (d) any U.S. federal withholding Taxes imposed under FATCA.</w:t>
      </w:r>
    </w:p>
    <w:p>
      <w:pPr>
        <w:spacing w:after="0" w:line="188"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364-Day Credit Agreement</w:t>
      </w:r>
      <w:r>
        <w:rPr>
          <w:rFonts w:ascii="Times New Roman" w:cs="Times New Roman" w:eastAsia="Times New Roman" w:hAnsi="Times New Roman"/>
          <w:sz w:val="18"/>
          <w:szCs w:val="18"/>
          <w:color w:val="auto"/>
        </w:rPr>
        <w:t>” means the 364-Day Credit Agreement dated as of April 3, 2025, among the Company, the borrowing subsidiaries party thereto, the lenders party thereto and JPMorgan, as administrative agent.</w:t>
      </w:r>
    </w:p>
    <w:p>
      <w:pPr>
        <w:spacing w:after="0" w:line="162"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Five-Year Credit Agreement</w:t>
      </w:r>
      <w:r>
        <w:rPr>
          <w:rFonts w:ascii="Times New Roman" w:cs="Times New Roman" w:eastAsia="Times New Roman" w:hAnsi="Times New Roman"/>
          <w:sz w:val="18"/>
          <w:szCs w:val="18"/>
          <w:color w:val="auto"/>
        </w:rPr>
        <w:t>” means the Five-Year Credit Agreement dated as of April 6, 2023, as amended on April 4, 2024, among the Company, the Borrowing Subsidiaries party thereto, the lenders party thereto and JPMorgan, as administrative agent.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9" w:name="page30"/>
    <w:bookmarkEnd w:id="29"/>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any letter of credit that has been issued by any Issuing Bank (or any Person that substantially concurrently with the effectiveness of such designation shall become an Issuing Bank as provided herein) for the account of any Borrower or, subject to the requirements set forth in Section 2.04, any Subsidiary and, subject to compliance with the requirements set forth in Section 2.04 as to the currency of the denomination of, maximum Tranche One LC Exposure or Tranche Two LC Exposure and expiration of Letters of Credit, has been designated as an “Existing Letter of Credit” by written notice thereof by the Company and such Issuing Bank (or such Person) to the Agent (which notice shall</w:t>
      </w:r>
    </w:p>
    <w:p>
      <w:pPr>
        <w:spacing w:after="0" w:line="3" w:lineRule="exact"/>
        <w:rPr>
          <w:sz w:val="20"/>
          <w:szCs w:val="20"/>
          <w:color w:val="auto"/>
        </w:rPr>
      </w:pPr>
    </w:p>
    <w:p>
      <w:pPr>
        <w:ind w:left="4" w:right="580" w:hanging="4"/>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whether such Existing Letter of Credit is to be a Tranche One Letter of Credit or a Tranche Two Letter of Credit and (y) contain a representation and warranty by the Company as of the date thereof that the conditions precedent set forth in Sections 4.02(a) and 4.02(b) shall be satisfied immediately after giving effect to such designation).</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has the meaning set forth in Section 2.21(a).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set forth in Section 2.21(b).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has the meaning set forth in Section 2.21(a).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Closing Date</w:t>
      </w:r>
      <w:r>
        <w:rPr>
          <w:rFonts w:ascii="Times New Roman" w:cs="Times New Roman" w:eastAsia="Times New Roman" w:hAnsi="Times New Roman"/>
          <w:sz w:val="18"/>
          <w:szCs w:val="18"/>
          <w:color w:val="auto"/>
        </w:rPr>
        <w:t>” has the meaning set forth in Section 2.21(b).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Notice</w:t>
      </w:r>
      <w:r>
        <w:rPr>
          <w:rFonts w:ascii="Times New Roman" w:cs="Times New Roman" w:eastAsia="Times New Roman" w:hAnsi="Times New Roman"/>
          <w:sz w:val="18"/>
          <w:szCs w:val="18"/>
          <w:color w:val="auto"/>
        </w:rPr>
        <w:t>” has the meaning set forth in Section 2.21(a).</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Effective Date (or any amended or successor version that is substantively comparable and not materially more onerous to comply with), any current or future regulations or official interpretations thereof, any agreement entered into pursuant to Section 1471(b)(1) of the Internal Revenue Code and any intergovernmental agreement entered into in connection with the implementation of the foregoing.</w:t>
      </w:r>
    </w:p>
    <w:p>
      <w:pPr>
        <w:spacing w:after="0" w:line="180"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shall be less than zero, such rate shall be deemed to be zero for all purposes of this Agreement.</w:t>
      </w:r>
    </w:p>
    <w:p>
      <w:pPr>
        <w:spacing w:after="0" w:line="180"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treasurer, controller or assistant treasurer of such Person.</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Effective Date, the further modification, amendment or renewal of this Agreement or otherwise) with respect to the Relevant Rate.</w:t>
      </w:r>
    </w:p>
    <w:p>
      <w:pPr>
        <w:spacing w:after="0" w:line="162" w:lineRule="exact"/>
        <w:rPr>
          <w:sz w:val="20"/>
          <w:szCs w:val="20"/>
          <w:color w:val="auto"/>
        </w:rPr>
      </w:pPr>
    </w:p>
    <w:p>
      <w:pPr>
        <w:ind w:left="4"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Currency Overnight Rate</w:t>
      </w:r>
      <w:r>
        <w:rPr>
          <w:rFonts w:ascii="Times New Roman" w:cs="Times New Roman" w:eastAsia="Times New Roman" w:hAnsi="Times New Roman"/>
          <w:sz w:val="17"/>
          <w:szCs w:val="17"/>
          <w:color w:val="auto"/>
        </w:rPr>
        <w:t xml:space="preserve">” means, for any day, with respect to any LC Disbursement denominated in any Designated Foreign Currency or Agreed LC Currency, a rate per annum at which overnight deposits in such Designated Foreign Currency or Agreed LC Currency, in an amount approximately equal to the amount with respect to which such rate is being determined, would be offered for such day in the principal interbank market for such currency, as such rate is determined by the Agent by such means as the Agent shall determine to be reasonable;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Foreign Currency Overnight Rate as so determined would be less than zero, the Foreign Currency Overnight Rate shall be deemed to be zero.</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0" w:name="page31"/>
    <w:bookmarkEnd w:id="3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a Borrower is a U.S. Person, then a Lender, with respect to such Borrower, that is not a U.S. Person, and</w:t>
      </w:r>
    </w:p>
    <w:p>
      <w:pPr>
        <w:spacing w:after="0" w:line="27" w:lineRule="exact"/>
        <w:rPr>
          <w:sz w:val="20"/>
          <w:szCs w:val="20"/>
          <w:color w:val="auto"/>
        </w:rPr>
      </w:pPr>
    </w:p>
    <w:p>
      <w:pPr>
        <w:ind w:left="4" w:right="260" w:hanging="4"/>
        <w:spacing w:after="0" w:line="260"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Borrower is not a U.S. Person, then a Lender, with respect to such Borrower, that is resident for tax purposes or organized under the laws of a jurisdiction other than that in which such Borrower is resident for tax purposes.</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applied in the United States, as in effect, subject to Section 1.02, from time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0"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by any Person means any obligation, contingent or otherwise, of such Person directly or indirectly guaranteeing any Debt of any other Person and, without limiting the generality of the foregoing, any obligation, direct or indirect, contingent or otherwise, of such Person (a) to purchase or pay (or advance or supply funds for the purchase or payment of) such Debt (whether arising by virtue of partnership arrangements, by agreement to keep-well, to purchase assets, goods, securities or services, to take-or-pay, or to maintain financial statement conditions or otherwise) or</w:t>
      </w:r>
    </w:p>
    <w:p>
      <w:pPr>
        <w:spacing w:after="0" w:line="3" w:lineRule="exact"/>
        <w:rPr>
          <w:sz w:val="20"/>
          <w:szCs w:val="20"/>
          <w:color w:val="auto"/>
        </w:rPr>
      </w:pPr>
    </w:p>
    <w:p>
      <w:pPr>
        <w:ind w:left="4" w:hanging="4"/>
        <w:spacing w:after="0" w:line="255"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for the purpose of assuring in any other manner the obligee of such Debt of the payment thereof or to protect such obligee against loss in respect thereof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term “Guarantee” used as a verb has a corresponding meaning.</w:t>
      </w:r>
    </w:p>
    <w:p>
      <w:pPr>
        <w:spacing w:after="0" w:line="18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(a) each Lender, (b) each Issuing Bank, (c) the Agent, (d) each Arranger, (e) each counterparty to any Hedging Agreement that obligations under which constitute Obligations, (f) the express beneficiaries of each indemnification obligation undertaken by any Borrower under any Loan Document and (g) the successors and permitted assigns of each of the foregoing.</w:t>
      </w:r>
    </w:p>
    <w:p>
      <w:pPr>
        <w:spacing w:after="0" w:line="17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toxic, radioactive, caustic or otherwise hazardous substance, including but not limited to asbestos and petroleum, and its derivatives and by-products.</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rate protection agreement, foreign currency exchange agreement, currency swap agreement, commodity price protection agreement or other interest or currency exchange rate or commodity price hedging arrangement. The “principal amount” of any Hedging Agreement of the Company or any Subsidiary at any time shall be deemed to be the aggregate amount at such time of the payments that would be required to be made by the Company or such Subsidiary in the event of any early termination at such time of such Hedging Agreement.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HSBC</w:t>
      </w:r>
      <w:r>
        <w:rPr>
          <w:rFonts w:ascii="Times New Roman" w:cs="Times New Roman" w:eastAsia="Times New Roman" w:hAnsi="Times New Roman"/>
          <w:sz w:val="18"/>
          <w:szCs w:val="18"/>
          <w:color w:val="auto"/>
        </w:rPr>
        <w:t>” means HSBC Bank USA, National Association.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set forth in Section 2.07(d).</w:t>
      </w:r>
    </w:p>
    <w:p>
      <w:pPr>
        <w:spacing w:after="0" w:line="225" w:lineRule="exact"/>
        <w:rPr>
          <w:sz w:val="20"/>
          <w:szCs w:val="20"/>
          <w:color w:val="auto"/>
        </w:rPr>
      </w:pPr>
    </w:p>
    <w:p>
      <w:pPr>
        <w:ind w:right="1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any Borrower under any Loan Document and (b) to the extent not otherwise described in clause (a) of this definition, Other Taxes.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Company that is not guaranteed by any other Person or subject to any other credit enhancement.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ING</w:t>
      </w:r>
      <w:r>
        <w:rPr>
          <w:rFonts w:ascii="Times New Roman" w:cs="Times New Roman" w:eastAsia="Times New Roman" w:hAnsi="Times New Roman"/>
          <w:sz w:val="18"/>
          <w:szCs w:val="18"/>
          <w:color w:val="auto"/>
        </w:rPr>
        <w:t>” means ING Bank N.V., Dublin Branch.</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(or the Company on behalf of the applicable Borrowing Subsidiary) to convert or continue a Borrowing in accordance with Section 2.06, which shall be substantially in the form approved by the Agent and separately provided to the Company.</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the Maturity Date, (b) with respect to any RFR Loan, each date that is on the numerically corresponding day in each calendar month that is one month after the date of the Borrowing of which such Loan is a part (or, if there is no such numerically corresponding day in such month, then the last day of such month) and the Maturity Date and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with respect to any Term Benchmark Borrowing, the period commencing on the date of such Borrowing and ending on the numerically corresponding day in the calendar month that is one, three or six months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six month interest period shall not be available for Term CORRA Borrowings and in each case, subject to availability for the Benchmark applicable for any Agreed Currency), as the applicable Borrower (or the Company on behalf of the applicable Borrowing Subsidiary)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70" w:right="51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2.12(b)(iv) shall be available for specification in any Notice of Borrowing or any Interest Election Request. For purposes hereof, the date of a Borrowing initially shall be the date on which such Borrowing is made and thereafter shall be the effective date of the most recent conversion or continuation of such Borrowing.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or any successor statute.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(a) each of JPMorgan, BofA, HSBC and ING and (b) each other Lender that shall have become an Issuing Bank hereunder as provided in Section 2.04(j) (other than any Person that shall have ceased to be an Issuing Bank as provided in Section 2.04(j)),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branch with respect to Letters of Credit issued by such Affiliate or branch (it being agreed that such Issuing Bank shall cause such Affiliate or branch to comply with the requirements of Section 2.04 with respect to such Letters of Credit).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has the meaning set forth in Section 2.04(j).</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set forth in Section 9.11(b).</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with respect to any Issuing Bank, the maximum permitted amount of the LC Exposure that may be attributable to Letters of Credit issued by such Issuing Bank. The initial LC Commitment of each of JPMorgan, BofA, HSBC and ING is US$45,000,000 and the initial LC Commitment of each other Issuing Bank that becomes an Issuing Bank hereunder pursuant to Section 2.04(j) is set forth in its Issuing Bank Agreement. The LC Commitment of any Issuing Bank may be increased or reduced by written agreement between such Issuing Bank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copy of such written agreement shall have been delivered to the Agent.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Tranche One LC Disbursement or a Tranche Two LC Disbursement.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33" w:name="page34"/>
    <w:bookmarkEnd w:id="33"/>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Exchange Rate</w:t>
      </w:r>
      <w:r>
        <w:rPr>
          <w:rFonts w:ascii="Times New Roman" w:cs="Times New Roman" w:eastAsia="Times New Roman" w:hAnsi="Times New Roman"/>
          <w:sz w:val="18"/>
          <w:szCs w:val="18"/>
          <w:color w:val="auto"/>
        </w:rPr>
        <w:t>” means, on any day, for purposes of determining the US Dollar Equivalent of an amount denominated in any currency other than US Dollars, the rate at which US Dollars may be exchanged into such other currency at the time of determination on such day as last provided (either by publication or as may otherwise be provided to the Agent) by the applicable Reuters source on the Business Day (determined based on New York City time) immediately preceding such day of determination (or, if a Reuters source ceases to be available or Reuters ceases to provide such rate of exchange, as last provided by such other publicly available information service that provides such rate of exchange at such time as shall be selected by the Agent from time to time in its reasonable discretion).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Tranche One LC Exposure and the Tranche Two LC Exposure at such time.</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Participation Calculation Date</w:t>
      </w:r>
      <w:r>
        <w:rPr>
          <w:rFonts w:ascii="Times New Roman" w:cs="Times New Roman" w:eastAsia="Times New Roman" w:hAnsi="Times New Roman"/>
          <w:sz w:val="18"/>
          <w:szCs w:val="18"/>
          <w:color w:val="auto"/>
        </w:rPr>
        <w:t>” means, with respect to any LC Disbursement made by any Issuing Bank or any refund of a reimbursement payment made by any Issuing Bank to any Borrower, in each case in a currency other than US Dollars, (a) the date on which such Issuing Bank shall advise the Agent that it purchased with US Dollars the currency used to make such LC Disbursement or refund or (b) if such Issuing Bank shall not advise the Agent that it made such a purchase, the date on which such LC Disbursement or refund is made.</w:t>
      </w:r>
    </w:p>
    <w:p>
      <w:pPr>
        <w:spacing w:after="0" w:line="180" w:lineRule="exact"/>
        <w:rPr>
          <w:sz w:val="20"/>
          <w:szCs w:val="20"/>
          <w:color w:val="auto"/>
        </w:rPr>
      </w:pPr>
    </w:p>
    <w:p>
      <w:pPr>
        <w:ind w:right="6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Person listed on Schedule 2.01 and any other Person that shall have become a party hereto pursuant to an Assignment and Assumption or as provided in Section 2.07(d), other than any such Person that shall have ceased to be a party hereto pursuant to Section 9.05(c).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means the Agent, each Arranger, each Lender, each Issuing Bank and the respective Related Parties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Tranche One Letter of Credit or Tranche Two Letter of Credit.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costs, damages or liabilities of any kind.</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lien, pledge, charge or security interest, or any encumbrance or other type of preferential arrangement that has the practical effect of creating a security interest, in respect of such asset. For the purposes of this Agreement, the Company or any Subsidiary shall be deemed to own subject to a Lien any asset which it has acquired or holds subject to the interest of a vendor or lessor under any conditional sale agreement, Capital Lease or other title retention agreement relating to such asset.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 loan made by a Lender to a Borrower hereunder.</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Borrowing Subsidiary Agreement, each Borrowing Subsidiary Termination, each Accession Agreement, each written agreement referred to in Section 2.07(d) and, other than for purposes of Section 9.04, each Issuing Bank Agreement, any agreement between the Company and any Issuing Bank regarding such Issuing Bank’s LC Commitment and each promissory note delivered pursuant to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4" w:name="page35"/>
    <w:bookmarkEnd w:id="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Mandatory Restrictions</w:t>
      </w:r>
      <w:r>
        <w:rPr>
          <w:rFonts w:ascii="Times New Roman" w:cs="Times New Roman" w:eastAsia="Times New Roman" w:hAnsi="Times New Roman"/>
          <w:sz w:val="18"/>
          <w:szCs w:val="18"/>
          <w:color w:val="auto"/>
        </w:rPr>
        <w:t>” has the meaning set forth in Section 1.08.</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consolidated financial position or consolidated results of operations of the Company and its Subsidiaries, taken as a whole, (b) the ability of the Borrowers to perform their obligations under the Loan Documents or (c) the rights of or benefits available to the Agent or the Lenders under the Loan Documents, taken as a whole.</w:t>
      </w:r>
    </w:p>
    <w:p>
      <w:pPr>
        <w:spacing w:after="0" w:line="176" w:lineRule="exact"/>
        <w:rPr>
          <w:sz w:val="20"/>
          <w:szCs w:val="20"/>
          <w:color w:val="auto"/>
        </w:rPr>
      </w:pPr>
    </w:p>
    <w:p>
      <w:pPr>
        <w:jc w:val="both"/>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Debt</w:t>
      </w:r>
      <w:r>
        <w:rPr>
          <w:rFonts w:ascii="Times New Roman" w:cs="Times New Roman" w:eastAsia="Times New Roman" w:hAnsi="Times New Roman"/>
          <w:sz w:val="18"/>
          <w:szCs w:val="18"/>
          <w:color w:val="auto"/>
        </w:rPr>
        <w:t>” means Debt (other than any amounts owed hereunder) of the Company and/or one or more of its Subsidiaries, arising in one or more related or unrelated transactions, in an aggregate principal amount the US Dollar equivalent of which exceeds US$150,000,000.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Plan</w:t>
      </w:r>
      <w:r>
        <w:rPr>
          <w:rFonts w:ascii="Times New Roman" w:cs="Times New Roman" w:eastAsia="Times New Roman" w:hAnsi="Times New Roman"/>
          <w:sz w:val="18"/>
          <w:szCs w:val="18"/>
          <w:color w:val="auto"/>
        </w:rPr>
        <w:t>” means at any time a Plan or Plans having aggregate Unfunded Liabilities in excess of US$150,000,000.</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at any time (a) any Borrowing Subsidiary or (b) any other Subsidiary, except, in the case of this clause (b), Subsidiaries which, if aggregated and considered as a single Subsidiary, would not meet the definition of a “significant subsidiary” contained as of the date hereof in Regulation S-X of the Securities and Exchange Commission.</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subject to extension pursuant to Section 2.21, April 2, 2031;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date shall not be a Business Day, then the “Maturity Date” shall be the immediately preceding Business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set forth in Section 9.12.</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MNPI</w:t>
      </w:r>
      <w:r>
        <w:rPr>
          <w:rFonts w:ascii="Times New Roman" w:cs="Times New Roman" w:eastAsia="Times New Roman" w:hAnsi="Times New Roman"/>
          <w:sz w:val="18"/>
          <w:szCs w:val="18"/>
          <w:color w:val="auto"/>
        </w:rPr>
        <w:t>” means material information concerning the Company and the Subsidiaries or their respective securities that has not been disseminated in a manner making it available to investors generally, within the meaning of Regulation FD under the Securities Act of 1933, as amended, and the Securities Exchange Act of 1934, as amended. For purposes of this definition, “material information” means information concerning the Company, the Subsidiaries or any of their respective securities that could reasonably be expected to be material for purposes of the United States federal and state securities laws.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at any time a multiemployer plan within the meaning of Section 4001(a)(3) of ERISA to which (a) any member of the ERISA Group is then making or accruing an obligation to make contributions or (b) at any time within the preceding five plan years, any Person, which was at such time a member of the ERISA Group, made contributions.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5" w:name="page36"/>
    <w:bookmarkEnd w:id="3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Non-Defaulting Tranche One Lender</w:t>
      </w:r>
      <w:r>
        <w:rPr>
          <w:rFonts w:ascii="Times New Roman" w:cs="Times New Roman" w:eastAsia="Times New Roman" w:hAnsi="Times New Roman"/>
          <w:sz w:val="18"/>
          <w:szCs w:val="18"/>
          <w:color w:val="auto"/>
        </w:rPr>
        <w:t>” means, at any time, any Tranche One Lender that is not a Defaulting Lender at such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Tranche Two Lender</w:t>
      </w:r>
      <w:r>
        <w:rPr>
          <w:rFonts w:ascii="Times New Roman" w:cs="Times New Roman" w:eastAsia="Times New Roman" w:hAnsi="Times New Roman"/>
          <w:sz w:val="18"/>
          <w:szCs w:val="18"/>
          <w:color w:val="auto"/>
        </w:rPr>
        <w:t>” means, at any time, any Tranche Two Lender that is not a Defaulting Lender at such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set forth in Section 2.21(b).</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means a request by the applicable Borrower (or the Company on behalf of the applicable Borrowing Subsidiary) for a Borrowing in accordance with Section 2.03, which shall be substantially in the form approved by the Agent and separately provided to the Company.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New York City time, on such day received by the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be less than zero, such rate shall be deemed to be zero.</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any Borrower under this Agreement in respect of any Letter of Credit, when and as due, including payments required to be made by any Borrower under this Agreement in respect of reimbursement of LC Disbursements and interest thereon (including interest accruing during the pendency of any bankruptcy, insolvency, receivership or other similar proceeding, regardless of whether allowed or allowable in such proceeding) and obligations to provide cash collateral and</w:t>
      </w:r>
    </w:p>
    <w:p>
      <w:pPr>
        <w:spacing w:after="0" w:line="5" w:lineRule="exact"/>
        <w:rPr>
          <w:sz w:val="20"/>
          <w:szCs w:val="20"/>
          <w:color w:val="auto"/>
        </w:rPr>
      </w:pPr>
    </w:p>
    <w:p>
      <w:pPr>
        <w:ind w:left="4" w:hanging="4"/>
        <w:spacing w:after="0" w:line="252"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any Borrower under this Agreement or any other Loan Document and (b) all obligations of the Borrowing Subsidiaries under each Hedging Agreement (i) existing on the Effective Date with a counterparty that is the Agent or a Lender on such date (or an Affiliate of the Agent or such a Lender) or (ii) entered into with a counterparty that was the Agent or a Lender or an Affiliate of the Agent or a Lender at the time such Hedging Agreement was entered into.</w:t>
      </w:r>
    </w:p>
    <w:p>
      <w:pPr>
        <w:spacing w:after="0" w:line="12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4"/>
          </w:cols>
          <w:pgMar w:left="436" w:top="270" w:right="519" w:bottom="1440" w:gutter="0" w:footer="0" w:header="0"/>
        </w:sectPr>
      </w:pPr>
    </w:p>
    <w:bookmarkStart w:id="36" w:name="page37"/>
    <w:bookmarkEnd w:id="36"/>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2.17).</w:t>
      </w:r>
    </w:p>
    <w:p>
      <w:pPr>
        <w:spacing w:after="0" w:line="180"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US Dollars, the greater of (i) the NYFRB Rate and</w:t>
      </w:r>
    </w:p>
    <w:p>
      <w:pPr>
        <w:spacing w:after="0" w:line="27" w:lineRule="exact"/>
        <w:rPr>
          <w:sz w:val="20"/>
          <w:szCs w:val="20"/>
          <w:color w:val="auto"/>
        </w:rPr>
      </w:pPr>
    </w:p>
    <w:p>
      <w:pPr>
        <w:ind w:left="4" w:right="140" w:hanging="4"/>
        <w:spacing w:after="0" w:line="255"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overnight rate reasonably determined by the Agent in accordance with banking industry rules on interbank compensation and (b) with respect to any amount denominated in any other currency, an overnight rate determined by the Agent in accordance with banking industry rules on interbank compensation.</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9.05(b).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9.05(b).</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set forth in Section 7.12(a).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set forth in Section 7.12(b).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limited liability company, a partnership, an association, a trust or any other entity or organization, including a Governmental Authority.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37" w:name="page38"/>
    <w:bookmarkEnd w:id="37"/>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any time an employee pension benefit plan (other than a Multiemployer Plan) which is covered by Title IV of ERISA or subject to the minimum funding standards under Section 412 of the Internal Revenue Code and either (a) is sponsored, maintained, or contributed to, by any member of the ERISA Group for employees of any member of the ERISA Group or (b) has at any time within the preceding five years been sponsored, maintained, or contributed to, by any Person which was at such time a member of the ERISA Group for employees of any Person which was at such time a member of the ERISA Group.</w:t>
      </w:r>
    </w:p>
    <w:p>
      <w:pPr>
        <w:spacing w:after="0" w:line="181"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last quoted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the “Prime Rate” in the United States or, if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ceases to quote such rate, the highest per annum interest rate published by the Board of Governors in Federal Reserve Statistical Release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H.15 (519) (Selected Interest Rates) as the “bank prime loan” rate or, if such rate is no longer quoted therein, any similar release by the Board of Governors (as determined by the Agent in its reasonable discretion). Each change in the Prime Rate shall be effective from and including the date such change is publicly announced or quoted as being effective.</w:t>
      </w:r>
    </w:p>
    <w:p>
      <w:pPr>
        <w:spacing w:after="0" w:line="18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Side Lender Representatives</w:t>
      </w:r>
      <w:r>
        <w:rPr>
          <w:rFonts w:ascii="Times New Roman" w:cs="Times New Roman" w:eastAsia="Times New Roman" w:hAnsi="Times New Roman"/>
          <w:sz w:val="18"/>
          <w:szCs w:val="18"/>
          <w:color w:val="auto"/>
        </w:rPr>
        <w:t>” means, with respect to any Lender, representatives of such Lender that are not Public Side Lender Representatives.</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Side Lender Representatives</w:t>
      </w:r>
      <w:r>
        <w:rPr>
          <w:rFonts w:ascii="Times New Roman" w:cs="Times New Roman" w:eastAsia="Times New Roman" w:hAnsi="Times New Roman"/>
          <w:sz w:val="17"/>
          <w:szCs w:val="17"/>
          <w:color w:val="auto"/>
        </w:rPr>
        <w:t>” means, with respect to any Lender, representatives of such Lender that do not wish to receive MNPI.</w:t>
      </w:r>
    </w:p>
    <w:p>
      <w:pPr>
        <w:spacing w:after="0" w:line="23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 5390(c)(8)(D).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set forth in Section 9.22(a).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Agent, any Lender and any Issuing Bank, or any combination thereof (as the context requires).</w:t>
      </w:r>
    </w:p>
    <w:p>
      <w:pPr>
        <w:spacing w:after="0" w:line="225"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(a) if such Benchmark is the Term SOFR, 5:00 a.m., Chicago time, on the day that is two U.S. Government Securities Business Days preceding the date of such setting, (b) if such Benchmark is the EURIBO Rate, 11:00 a.m., Brussels time, two TARGET Days preceding the date of such setting, (c) if such Benchmark is the Adjusted Term CORRA, 1:00 p.m., Toronto time, on the day that is two Business Days preceding the date of such setting, (d) if such Benchmark is the STIBO Rate, 11:00 a.m., London time, two Business Days preceding the date of such setting, (e) if such Benchmark is the Daily Simple SONIA, then four RFR Business Days prior to such setting, (f) if, following a Benchmark Transition Event and Benchmark Replacement Date with respect to the Term SOFR, the RFR for such Benchmark is Daily Simple SOFR, then four RFR Business Days prior to such setting, (g) if, following a Benchmark Transition Event and Benchmark Replacement Date with respect to the Adjusted Term CORRA, the RFR for such Benchmark is the Daily Simple CORRA, then four RFR Business Days prior to such setting or (h) otherwise, the time determined by the Agent in its reasonable discretion.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8" w:name="page39"/>
    <w:bookmarkEnd w:id="3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9.05(c)(v).</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of Governors, as in effect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of Governors, as in effect from time to time.</w:t>
      </w:r>
    </w:p>
    <w:p>
      <w:pPr>
        <w:spacing w:after="0" w:line="225"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directors, officers, employees, partners, agents, representatives and advisors of any of the foregoing.</w:t>
      </w:r>
    </w:p>
    <w:p>
      <w:pPr>
        <w:spacing w:after="0" w:line="162"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(a) with respect to a Benchmark Replacement in respect of Loans denominated in US Dollars, the Board of Governors and/or the NYFRB or a committee officially endorsed or convened by the Board of Governors and/or the NYFRB or, in each case, any successor thereto, (b) with respect to a Benchmark Replacement in respect of Loans denominated in Sterling, the Bank of England, or a committee officially endorsed or convened by the Bank of England or, in each case, any successor thereto, (c) with respect to a Benchmark Replacement in respect of Loans denominated in Euro, the European Central Bank, or a committee officially endorsed or convened by the European Central Bank or, in each case, any successor thereto, (d) with respect to a Benchmark Replacement in respect of Loans denominated in Canadian Dollars, the Bank of Canada, or a committee officially endorsed or convened by the Bank of Canada or, in each case, any successor thereto and (e) with respect to a Benchmark Replacement in respect of Loans denominated in any other currency, (i) the central bank for the currency in which such Benchmark Replacement is denominated or any central bank or other supervisor which is responsible for supervising either (x) such Benchmark Replacement or (y) the administrator of such Benchmark Replacement or (ii) any working group or committee officially endorsed or convened by (w) the central bank for the currency in which such Benchmark Replacement is denominated, (x) any central bank or other supervisor that is responsible for supervising either</w:t>
      </w:r>
    </w:p>
    <w:p>
      <w:pPr>
        <w:spacing w:after="0" w:line="4" w:lineRule="exact"/>
        <w:rPr>
          <w:sz w:val="20"/>
          <w:szCs w:val="20"/>
          <w:color w:val="auto"/>
        </w:rPr>
      </w:pPr>
    </w:p>
    <w:p>
      <w:pPr>
        <w:ind w:left="304" w:hanging="304"/>
        <w:spacing w:after="0"/>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Benchmark Replacement or (B) the administrator of such Benchmark Replacement, (y) a group of those central banks or other supervisors 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the Financial Stability Board or any part thereof.</w:t>
      </w:r>
    </w:p>
    <w:p>
      <w:pPr>
        <w:spacing w:after="0" w:line="207" w:lineRule="exact"/>
        <w:rPr>
          <w:sz w:val="20"/>
          <w:szCs w:val="20"/>
          <w:color w:val="auto"/>
        </w:rPr>
      </w:pPr>
    </w:p>
    <w:p>
      <w:pPr>
        <w:ind w:left="4" w:right="8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Rate</w:t>
      </w:r>
      <w:r>
        <w:rPr>
          <w:rFonts w:ascii="Times New Roman" w:cs="Times New Roman" w:eastAsia="Times New Roman" w:hAnsi="Times New Roman"/>
          <w:sz w:val="17"/>
          <w:szCs w:val="17"/>
          <w:color w:val="auto"/>
        </w:rPr>
        <w:t>” means (a) with respect to any Term Benchmark Borrowing denominated in US Dollars, the Term SOFR, (b) with respect to any Term Benchmark Borrowing denominated in Euro, the EURIBO Rate, (c) with respect to any Term Benchmark Borrowing denominated in Canadian Dollars, the Adjusted Term CORRA, (d) with respect to any Term Benchmark Borrowing denominated in Swedish Kronor, the STIBO Rate,</w:t>
      </w:r>
    </w:p>
    <w:p>
      <w:pPr>
        <w:spacing w:after="0" w:line="2" w:lineRule="exact"/>
        <w:rPr>
          <w:sz w:val="20"/>
          <w:szCs w:val="20"/>
          <w:color w:val="auto"/>
        </w:rPr>
      </w:pPr>
    </w:p>
    <w:p>
      <w:pPr>
        <w:ind w:left="4" w:right="160" w:hanging="4"/>
        <w:spacing w:after="0" w:line="290" w:lineRule="auto"/>
        <w:tabs>
          <w:tab w:leader="none" w:pos="24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RFR Borrowing denominated in US Dollars, the Daily Simple SOFR, (f) with respect to any RFR Borrowing denominated in Sterling, the Daily Simple SONIA and (g) with respect to any RFR Borrowing denominated in Canadian Dollars, the Adjusted Daily Simple CORRA.</w:t>
      </w:r>
    </w:p>
    <w:p>
      <w:pPr>
        <w:spacing w:after="0" w:line="15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(a) with respect to any Term Benchmark Borrowing denominated in US Dollars, the Term SOFR Reference Rate, (b) with respect to any Term Benchmark Borrowing denominated in Euro, the EURIBO Screen Rate, (c) with respect to any Term Benchmark Borrowing denominated in Swedish Kronor, the STIBO Screen Rate and (d) with respect to any Term Benchmark Borrowing denominated in Canadian Dollars, Term CORRA.</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39" w:name="page40"/>
    <w:bookmarkEnd w:id="39"/>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Credit Exposures and unused Commitments representing more than 50% of the sum of the total Credit Exposures and unused Commitments at such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Authority.</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Lender</w:t>
      </w:r>
      <w:r>
        <w:rPr>
          <w:rFonts w:ascii="Times New Roman" w:cs="Times New Roman" w:eastAsia="Times New Roman" w:hAnsi="Times New Roman"/>
          <w:sz w:val="18"/>
          <w:szCs w:val="18"/>
          <w:color w:val="auto"/>
        </w:rPr>
        <w:t>” has the meaning set forth in Section 1.08.</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Thomson Reuters Corporation, Refinitiv or, in each case, a successor thereto.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any Borrowing comprised of RFR Loans.</w:t>
      </w:r>
    </w:p>
    <w:p>
      <w:pPr>
        <w:spacing w:after="0" w:line="225" w:lineRule="exact"/>
        <w:rPr>
          <w:sz w:val="20"/>
          <w:szCs w:val="20"/>
          <w:color w:val="auto"/>
        </w:rPr>
      </w:pPr>
    </w:p>
    <w:p>
      <w:pPr>
        <w:ind w:left="4" w:right="16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RFR Business Day</w:t>
      </w:r>
      <w:r>
        <w:rPr>
          <w:rFonts w:ascii="Times New Roman" w:cs="Times New Roman" w:eastAsia="Times New Roman" w:hAnsi="Times New Roman"/>
          <w:sz w:val="17"/>
          <w:szCs w:val="17"/>
          <w:color w:val="auto"/>
        </w:rPr>
        <w:t>” means (a) for any Loan denominated in US Dollars, a U.S. Government Securities Business Day, (b) for any Loan denominated in Sterling, any day except for (i) a Saturday, (ii) a Sunday or (iii) a day on which banks are closed for general business in London and</w:t>
      </w:r>
    </w:p>
    <w:p>
      <w:pPr>
        <w:spacing w:after="0" w:line="1" w:lineRule="exact"/>
        <w:rPr>
          <w:sz w:val="20"/>
          <w:szCs w:val="20"/>
          <w:color w:val="auto"/>
        </w:rPr>
      </w:pPr>
    </w:p>
    <w:p>
      <w:pPr>
        <w:ind w:left="4" w:right="60" w:hanging="4"/>
        <w:spacing w:after="0" w:line="260"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Loan denominated in Canadian Dollars, any day except for (i) a Saturday, (ii) a Sunday or (iii) a day on which commercial banks in Toronto are authorized or required by law to remain closed.</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determined by reference to a Daily Simple RFR.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4" w:right="5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territory or region that is, or whose government is, itself the subject of any comprehensive Sanctions (at the Effective Date, the so-called Donetsk People’s Republic, the so-called Luhansk People’s Republic, the Crimea, Zaporizhzhia and Kherson regions of Ukraine, Cuba, Iran, North Korea and Syria).</w:t>
      </w:r>
    </w:p>
    <w:p>
      <w:pPr>
        <w:spacing w:after="0" w:line="17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His Majesty’s Treasury of the United Kingdom, (b) any Person located, organized or resident in a Sanctioned Country or (c) any Person owned or controlled by any Person or Persons described in the foregoing clauses (a) or (b).</w:t>
      </w:r>
    </w:p>
    <w:p>
      <w:pPr>
        <w:spacing w:after="0" w:line="180"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4"/>
          </w:cols>
          <w:pgMar w:left="436" w:top="270" w:right="519" w:bottom="1440" w:gutter="0" w:footer="0" w:header="0"/>
        </w:sectPr>
      </w:pPr>
    </w:p>
    <w:bookmarkStart w:id="40" w:name="page41"/>
    <w:bookmarkEnd w:id="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or any successor source for the secured overnight financing rate identified as such by the SOFR Administrator from time to time.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Borrowing</w:t>
      </w:r>
      <w:r>
        <w:rPr>
          <w:rFonts w:ascii="Times New Roman" w:cs="Times New Roman" w:eastAsia="Times New Roman" w:hAnsi="Times New Roman"/>
          <w:sz w:val="18"/>
          <w:szCs w:val="18"/>
          <w:color w:val="auto"/>
        </w:rPr>
        <w:t>” means any Borrowing comprised of SONIA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Loan</w:t>
      </w:r>
      <w:r>
        <w:rPr>
          <w:rFonts w:ascii="Times New Roman" w:cs="Times New Roman" w:eastAsia="Times New Roman" w:hAnsi="Times New Roman"/>
          <w:sz w:val="18"/>
          <w:szCs w:val="18"/>
          <w:color w:val="auto"/>
        </w:rPr>
        <w:t>” means a Loan that bears interest at a rate determined by reference to the Daily Simple SONIA.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Provision</w:t>
      </w:r>
      <w:r>
        <w:rPr>
          <w:rFonts w:ascii="Times New Roman" w:cs="Times New Roman" w:eastAsia="Times New Roman" w:hAnsi="Times New Roman"/>
          <w:sz w:val="18"/>
          <w:szCs w:val="18"/>
          <w:color w:val="auto"/>
        </w:rPr>
        <w:t>” has the meaning set forth in Section 1.08.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money of the United Kingdom.</w:t>
      </w:r>
    </w:p>
    <w:p>
      <w:pPr>
        <w:spacing w:after="0" w:line="225"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STIBO Rate</w:t>
      </w:r>
      <w:r>
        <w:rPr>
          <w:rFonts w:ascii="Times New Roman" w:cs="Times New Roman" w:eastAsia="Times New Roman" w:hAnsi="Times New Roman"/>
          <w:sz w:val="18"/>
          <w:szCs w:val="18"/>
          <w:color w:val="auto"/>
        </w:rPr>
        <w:t xml:space="preserve">” means, with respect to any STIBOR Borrowing for any Interest Period, the STIBO Screen Rate at approximately 11:00 a.m., London time, two Business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shall be less than zero, such rate shall be deemed to be zero.</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STIBO Screen Rate</w:t>
      </w:r>
      <w:r>
        <w:rPr>
          <w:rFonts w:ascii="Times New Roman" w:cs="Times New Roman" w:eastAsia="Times New Roman" w:hAnsi="Times New Roman"/>
          <w:sz w:val="18"/>
          <w:szCs w:val="18"/>
          <w:color w:val="auto"/>
        </w:rPr>
        <w:t>” means the Stockholm interbank offered rate administered by the Swedish Bankers’ Association (or any other Person that takes over the administration of that rate) for deposits in Swedish Kronor with a term equivalent to such Interest Period as displayed on the Reuters screen page that displays such rate (or, in the event such rate does not appear on a page of the Reuters screen, on the appropriate page of such other information service that publishes such rate as shall be selected by the Agent from time to time in its reasonable discretion).</w:t>
      </w:r>
    </w:p>
    <w:p>
      <w:pPr>
        <w:spacing w:after="0" w:line="18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STIBOR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STIBO Rate.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1" w:name="page42"/>
    <w:bookmarkEnd w:id="41"/>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at any time with respect to any Person, any corporation or other entity of which securities or other ownership interests having ordinary voting power to elect a majority of the board of directors or other persons performing similar functions or to manage such corporation or other entity are at the time directly or indirectly, through one or more intermediaries, owned by such Person.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set forth in Section 9.22(b).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Swedish Kronor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SEK</w:t>
      </w:r>
      <w:r>
        <w:rPr>
          <w:rFonts w:ascii="Times New Roman" w:cs="Times New Roman" w:eastAsia="Times New Roman" w:hAnsi="Times New Roman"/>
          <w:sz w:val="18"/>
          <w:szCs w:val="18"/>
          <w:color w:val="auto"/>
        </w:rPr>
        <w:t>” means the lawful money of the Kingdom of Sweden.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means BofA, in its capacity as the syndication agent for the credit facility provided for herein.</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if such system ceases to be operative, such other system (if any) determined by the Agent to be a suitable replacement).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T2 is open for the settlement of payments in Euro.</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and penalties applicable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Borrowing</w:t>
      </w:r>
      <w:r>
        <w:rPr>
          <w:rFonts w:ascii="Times New Roman" w:cs="Times New Roman" w:eastAsia="Times New Roman" w:hAnsi="Times New Roman"/>
          <w:sz w:val="18"/>
          <w:szCs w:val="18"/>
          <w:color w:val="auto"/>
        </w:rPr>
        <w:t>” means a Borrowing comprised of Term Benchmark Loans.</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means any Loan that bears interest at a rate determined by reference to the Term SOFR (other than as a result of clause (c) of the definition of “Alternate Base Rate”), the EURIBO Rate, the Adjusted Term CORRA or the STIBO Rate.</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xml:space="preserve">”) that is two Business Days prior to the first day of such Interest Period, as such rate is published by the Term CORRA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Business Days prior to such Periodic Term CORRA Determination Day.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2" w:name="page43"/>
    <w:bookmarkEnd w:id="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Borrowing</w:t>
      </w:r>
      <w:r>
        <w:rPr>
          <w:rFonts w:ascii="Times New Roman" w:cs="Times New Roman" w:eastAsia="Times New Roman" w:hAnsi="Times New Roman"/>
          <w:sz w:val="18"/>
          <w:szCs w:val="18"/>
          <w:color w:val="auto"/>
        </w:rPr>
        <w:t>” means a Borrowing comprised of Term CORRA Loans.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Loan</w:t>
      </w:r>
      <w:r>
        <w:rPr>
          <w:rFonts w:ascii="Times New Roman" w:cs="Times New Roman" w:eastAsia="Times New Roman" w:hAnsi="Times New Roman"/>
          <w:sz w:val="18"/>
          <w:szCs w:val="18"/>
          <w:color w:val="auto"/>
        </w:rPr>
        <w:t>” means a Loan that bears interest at a rate determined by reference to the Adjusted Term CORRA.</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Notice</w:t>
      </w:r>
      <w:r>
        <w:rPr>
          <w:rFonts w:ascii="Times New Roman" w:cs="Times New Roman" w:eastAsia="Times New Roman" w:hAnsi="Times New Roman"/>
          <w:sz w:val="18"/>
          <w:szCs w:val="18"/>
          <w:color w:val="auto"/>
        </w:rPr>
        <w:t>” means a notification by the Agent to the Company and the Lenders of the occurrence of a Term CORRA Reelection Event.</w:t>
      </w:r>
    </w:p>
    <w:p>
      <w:pPr>
        <w:spacing w:after="0" w:line="162"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Reelection Event</w:t>
      </w:r>
      <w:r>
        <w:rPr>
          <w:rFonts w:ascii="Times New Roman" w:cs="Times New Roman" w:eastAsia="Times New Roman" w:hAnsi="Times New Roman"/>
          <w:sz w:val="18"/>
          <w:szCs w:val="18"/>
          <w:color w:val="auto"/>
        </w:rPr>
        <w:t>” means the determination by the Agent that (a) Term CORRA has been recommended for use by the Relevant Governmental Body, (b) the administration of Term CORRA is administratively feasible for the Agent and (c) a Benchmark Transition Event has previously occurred with respect to Term CORRA resulting in a Benchmark Replacement in accordance with Section 2.12(b) that is not Term CORRA.</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means, with respect to any Term Benchmark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as so determined shall be less than zero, it shall be deemed to be zero.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Borrowing</w:t>
      </w:r>
      <w:r>
        <w:rPr>
          <w:rFonts w:ascii="Times New Roman" w:cs="Times New Roman" w:eastAsia="Times New Roman" w:hAnsi="Times New Roman"/>
          <w:sz w:val="18"/>
          <w:szCs w:val="18"/>
          <w:color w:val="auto"/>
        </w:rPr>
        <w:t>” means a Borrowing comprised of Term SOFR Loans.</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any Loan that bears interest at a rate determined by reference to the Term SOFR (other than as a result of clause (c) of the definition of “Alternate Base Rate”).</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SOFR Borrowing and for any tenor comparable to the applicable Interest Period, the rate per annum published by the CME Term SOFR Administrator and identified by the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43" w:name="page44"/>
    <w:bookmarkEnd w:id="43"/>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means a category of Commitments and extensions of credit thereunder. For purposes hereof, each of the following shall comprise a separate Tranche: (a) the Tranche One Commitments, the Tranche One Loans and the Tranche One Letters of Credit (“</w:t>
      </w:r>
      <w:r>
        <w:rPr>
          <w:rFonts w:ascii="Times New Roman" w:cs="Times New Roman" w:eastAsia="Times New Roman" w:hAnsi="Times New Roman"/>
          <w:sz w:val="18"/>
          <w:szCs w:val="18"/>
          <w:u w:val="single" w:color="auto"/>
          <w:color w:val="auto"/>
        </w:rPr>
        <w:t>Tranche One</w:t>
      </w:r>
      <w:r>
        <w:rPr>
          <w:rFonts w:ascii="Times New Roman" w:cs="Times New Roman" w:eastAsia="Times New Roman" w:hAnsi="Times New Roman"/>
          <w:sz w:val="18"/>
          <w:szCs w:val="18"/>
          <w:color w:val="auto"/>
        </w:rPr>
        <w:t>”) and (b) the Tranche Two Commitments, the Tranche Two Loans and the Tranche Two Letters of Credit (“</w:t>
      </w:r>
      <w:r>
        <w:rPr>
          <w:rFonts w:ascii="Times New Roman" w:cs="Times New Roman" w:eastAsia="Times New Roman" w:hAnsi="Times New Roman"/>
          <w:sz w:val="18"/>
          <w:szCs w:val="18"/>
          <w:u w:val="single" w:color="auto"/>
          <w:color w:val="auto"/>
        </w:rPr>
        <w:t>Tranche Two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w:t>
      </w:r>
      <w:r>
        <w:rPr>
          <w:rFonts w:ascii="Times New Roman" w:cs="Times New Roman" w:eastAsia="Times New Roman" w:hAnsi="Times New Roman"/>
          <w:sz w:val="18"/>
          <w:szCs w:val="18"/>
          <w:color w:val="auto"/>
        </w:rPr>
        <w:t>” has the meaning set forth in the definition of the term “Tranche”.</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 Commitment</w:t>
      </w:r>
      <w:r>
        <w:rPr>
          <w:rFonts w:ascii="Times New Roman" w:cs="Times New Roman" w:eastAsia="Times New Roman" w:hAnsi="Times New Roman"/>
          <w:sz w:val="18"/>
          <w:szCs w:val="18"/>
          <w:color w:val="auto"/>
        </w:rPr>
        <w:t>” means, with respect to each Lender, the commitment, if any, of such Lender to make Tranche One Loans pursuant to Section 2.01(a) and to acquire participations in Tranche One Letters of Credit hereunder, expressed as an amount representing the maximum aggregate amount of such Lender’s Tranche One Credit Exposure hereunder, as such commitment may be reduced or increased from time to time pursuant to Section 2.07 or assignments by or to such Lender pursuant to Section 9.05. The initial amount of each Lender’s Tranche One Commitment is set forth on Schedule 2.01, or in the Assignment and Assumption or the Accession Agreement pursuant to which such Lender shall have assumed or acquired its Tranche One Commitment, as the case may be. The aggregate amount of the Tranche One Commitments on the Effective Date is US$1,420,000,000.</w:t>
      </w:r>
    </w:p>
    <w:p>
      <w:pPr>
        <w:spacing w:after="0" w:line="189"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 Credit Exposure</w:t>
      </w:r>
      <w:r>
        <w:rPr>
          <w:rFonts w:ascii="Times New Roman" w:cs="Times New Roman" w:eastAsia="Times New Roman" w:hAnsi="Times New Roman"/>
          <w:sz w:val="18"/>
          <w:szCs w:val="18"/>
          <w:color w:val="auto"/>
        </w:rPr>
        <w:t>” means, with respect to any Lender at any time, the aggregate amount of (a) the sum of the US Dollar Equivalents of such Lender’s outstanding Tranche One Loans and (b) such Lender’s Tranche One LC Exposure.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 LC Disbursement</w:t>
      </w:r>
      <w:r>
        <w:rPr>
          <w:rFonts w:ascii="Times New Roman" w:cs="Times New Roman" w:eastAsia="Times New Roman" w:hAnsi="Times New Roman"/>
          <w:sz w:val="18"/>
          <w:szCs w:val="18"/>
          <w:color w:val="auto"/>
        </w:rPr>
        <w:t>” means a payment made by an Issuing Bank pursuant to a Tranche One Letter of Credit. The amount of any Tranche One LC Disbursement made by an Issuing Bank in any currency other than US Dollars and not reimbursed by or on behalf of the applicable Borrower shall be determined as set forth in Section 2.04(f) or 2.04(n), as applicable.</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 LC Exposure</w:t>
      </w:r>
      <w:r>
        <w:rPr>
          <w:rFonts w:ascii="Times New Roman" w:cs="Times New Roman" w:eastAsia="Times New Roman" w:hAnsi="Times New Roman"/>
          <w:sz w:val="18"/>
          <w:szCs w:val="18"/>
          <w:color w:val="auto"/>
        </w:rPr>
        <w:t>” means, at any time, (a) the sum of the US Dollar Equivalents of the undrawn amounts of all outstanding Tranche One Letters of Credit at such time plus (b) the sum of the US Dollar Equivalents of the amounts of all Tranche One LC Disbursements that have not yet been reimbursed by or on behalf of the applicable Borrowers at such time. The Tranche One LC Exposure of any Tranche One Lender at any time shall be its Tranche One Percentage of the total Tranche One LC Exposure at such time, adjusted to give effect to any reallocation under Section 2.20(a)(iii) of the Tranche One LC Exposure of Defaulting Lenders in effect at such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 Lender</w:t>
      </w:r>
      <w:r>
        <w:rPr>
          <w:rFonts w:ascii="Times New Roman" w:cs="Times New Roman" w:eastAsia="Times New Roman" w:hAnsi="Times New Roman"/>
          <w:sz w:val="18"/>
          <w:szCs w:val="18"/>
          <w:color w:val="auto"/>
        </w:rPr>
        <w:t>” means a Lender with a Tranche One Commitment or a Tranche One Credit Exposure.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4" w:name="page45"/>
    <w:bookmarkEnd w:id="44"/>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Tranche One Letter of Credit</w:t>
      </w:r>
      <w:r>
        <w:rPr>
          <w:rFonts w:ascii="Times New Roman" w:cs="Times New Roman" w:eastAsia="Times New Roman" w:hAnsi="Times New Roman"/>
          <w:sz w:val="18"/>
          <w:szCs w:val="18"/>
          <w:color w:val="auto"/>
        </w:rPr>
        <w:t>” means a letter of credit issued under Section 2.04 and designated as a Tranche One Letter of Credit in the request therefor submitted by the applicable Borrower and each Existing Letter of Credit that is designated as a Tranche One Letter of Credit pursuant to the designation notice referred to in the definition of Existing Letters of Credit, other than any such Letter of Credit that shall have ceased to be a letter of credit outstanding hereunder pursuant to Section 9.09.</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 Loans</w:t>
      </w:r>
      <w:r>
        <w:rPr>
          <w:rFonts w:ascii="Times New Roman" w:cs="Times New Roman" w:eastAsia="Times New Roman" w:hAnsi="Times New Roman"/>
          <w:sz w:val="18"/>
          <w:szCs w:val="18"/>
          <w:color w:val="auto"/>
        </w:rPr>
        <w:t>” means Loans made by the Tranche One Lenders pursuant to Section 2.01(a).</w:t>
      </w:r>
    </w:p>
    <w:p>
      <w:pPr>
        <w:spacing w:after="0" w:line="22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One Percentage</w:t>
      </w:r>
      <w:r>
        <w:rPr>
          <w:rFonts w:ascii="Times New Roman" w:cs="Times New Roman" w:eastAsia="Times New Roman" w:hAnsi="Times New Roman"/>
          <w:sz w:val="18"/>
          <w:szCs w:val="18"/>
          <w:color w:val="auto"/>
        </w:rPr>
        <w:t xml:space="preserve">” means, with respect to any Tranche One Lender at any time, the percentage of the aggregate Tranche One Commitments represented by such Tranche One Lender’s Tranche One Commitment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Section 2.20 when a Defaulting Lender that is a Tranche One Lender shall exist, “Tranche One Percentage” shall mean, with respect to any Tranche One Lender at any time, the percentage of the aggregate Tranche One Commitments (disregarding any Defaulting Lender’s Tranche One Commitment) represented by such Tranche One Lender’s Tranche One Commitment at such time. If the Tranche One Commitments have expired or been terminated, the Tranche One Percentages shall be determined on the basis of the Tranche One Commitments most recently in effect, giving effect to any assignments and to any Tranche One Lender’s status as a Defaulting Lender at the time of determination.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Percentage</w:t>
      </w:r>
      <w:r>
        <w:rPr>
          <w:rFonts w:ascii="Times New Roman" w:cs="Times New Roman" w:eastAsia="Times New Roman" w:hAnsi="Times New Roman"/>
          <w:sz w:val="18"/>
          <w:szCs w:val="18"/>
          <w:color w:val="auto"/>
        </w:rPr>
        <w:t>” means a Tranche One Percentage or a Tranche Two Percentage, as the case may be.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w:t>
      </w:r>
      <w:r>
        <w:rPr>
          <w:rFonts w:ascii="Times New Roman" w:cs="Times New Roman" w:eastAsia="Times New Roman" w:hAnsi="Times New Roman"/>
          <w:sz w:val="18"/>
          <w:szCs w:val="18"/>
          <w:color w:val="auto"/>
        </w:rPr>
        <w:t>” has the meaning set forth in the definition of the term “Tranche”.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 Commitment</w:t>
      </w:r>
      <w:r>
        <w:rPr>
          <w:rFonts w:ascii="Times New Roman" w:cs="Times New Roman" w:eastAsia="Times New Roman" w:hAnsi="Times New Roman"/>
          <w:sz w:val="18"/>
          <w:szCs w:val="18"/>
          <w:color w:val="auto"/>
        </w:rPr>
        <w:t>” means, with respect to each Lender, the commitment, if any, of such Lender to make Tranche Two Loans pursuant to Section 2.01(b) and to acquire participations in Tranche Two Letters of Credit hereunder, expressed as an amount representing the maximum aggregate amount of such Lender’s Tranche Two Credit Exposure hereunder, as such commitment may be reduced or increased from time to time pursuant to Section 2.07 or assignments by or to such Lender pursuant to Section 9.05. The initial amount of each Lender’s Tranche Two Commitment is set forth on Schedule 2.01, or in the Assignment and Assumption or the Accession Agreement pursuant to which such Lender shall have assumed or acquired its Tranche Two Commitment, as the case may be. The aggregate amount of the Tranche Two Commitments on the Effective Date is US$80,000,000.</w:t>
      </w:r>
    </w:p>
    <w:p>
      <w:pPr>
        <w:spacing w:after="0" w:line="189"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 Credit Exposure</w:t>
      </w:r>
      <w:r>
        <w:rPr>
          <w:rFonts w:ascii="Times New Roman" w:cs="Times New Roman" w:eastAsia="Times New Roman" w:hAnsi="Times New Roman"/>
          <w:sz w:val="18"/>
          <w:szCs w:val="18"/>
          <w:color w:val="auto"/>
        </w:rPr>
        <w:t>” means, with respect to any Lender at any time, the aggregate amount of (a) the sum of the US Dollar Equivalents of such Lender’s outstanding Tranche Two Loans and (b) such Lender’s Tranche Two LC Exposure.</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 LC Disbursement</w:t>
      </w:r>
      <w:r>
        <w:rPr>
          <w:rFonts w:ascii="Times New Roman" w:cs="Times New Roman" w:eastAsia="Times New Roman" w:hAnsi="Times New Roman"/>
          <w:sz w:val="18"/>
          <w:szCs w:val="18"/>
          <w:color w:val="auto"/>
        </w:rPr>
        <w:t>” means a payment made by an Issuing Bank pursuant to a Tranche Two Letter of Credit. The amount of any Tranche Two LC Disbursement made by an Issuing Bank in any currency other than US Dollars and not reimbursed by or on behalf of the applicable Borrower shall be determined as set forth in Section 2.04(f) or 2.04(n), as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5" w:name="page46"/>
    <w:bookmarkEnd w:id="45"/>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Tranche Two LC Exposure</w:t>
      </w:r>
      <w:r>
        <w:rPr>
          <w:rFonts w:ascii="Times New Roman" w:cs="Times New Roman" w:eastAsia="Times New Roman" w:hAnsi="Times New Roman"/>
          <w:sz w:val="18"/>
          <w:szCs w:val="18"/>
          <w:color w:val="auto"/>
        </w:rPr>
        <w:t>” means, at any time, (a) the sum of the US Dollar Equivalents of the undrawn amounts of all outstanding Tranche Two Letters of Credit at such time plus (b) the sum of the US Dollar Equivalents of the amounts of all Tranche Two LC Disbursements that have not yet been reimbursed by or on behalf of the applicable Borrowers at such time. The Tranche Two LC Exposure of any Tranche Two Lender at any time shall be its Tranche Two Percentage of the total Tranche Two LC Exposure at such time, adjusted to give effect to any reallocation under Section 2.20(a)(iii) of the Tranche Two LC Exposure of Defaulting Lenders in effect at such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 Lender</w:t>
      </w:r>
      <w:r>
        <w:rPr>
          <w:rFonts w:ascii="Times New Roman" w:cs="Times New Roman" w:eastAsia="Times New Roman" w:hAnsi="Times New Roman"/>
          <w:sz w:val="18"/>
          <w:szCs w:val="18"/>
          <w:color w:val="auto"/>
        </w:rPr>
        <w:t>” means a Lender with a Tranche Two Commitment or a Tranche Two Credit Exposure.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 Letter of Credit</w:t>
      </w:r>
      <w:r>
        <w:rPr>
          <w:rFonts w:ascii="Times New Roman" w:cs="Times New Roman" w:eastAsia="Times New Roman" w:hAnsi="Times New Roman"/>
          <w:sz w:val="18"/>
          <w:szCs w:val="18"/>
          <w:color w:val="auto"/>
        </w:rPr>
        <w:t>” means a letter of credit issued under Section 2.04 and designated as a Tranche Two Letter of Credit in the request therefor submitted by the applicable Borrower and each Existing Letter of Credit that is designated as a Tranche Two Letter of Credit pursuant to the designation notice referred to in the definition of Existing Letters of Credit, other than any such Letter of Credit that shall have ceased to be a letter of credit outstanding hereunder pursuant to Section 9.09.</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 Loans</w:t>
      </w:r>
      <w:r>
        <w:rPr>
          <w:rFonts w:ascii="Times New Roman" w:cs="Times New Roman" w:eastAsia="Times New Roman" w:hAnsi="Times New Roman"/>
          <w:sz w:val="18"/>
          <w:szCs w:val="18"/>
          <w:color w:val="auto"/>
        </w:rPr>
        <w:t>” means Loans made by the Tranche Two Lenders pursuant to Section 2.01(b).</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Two Percentage</w:t>
      </w:r>
      <w:r>
        <w:rPr>
          <w:rFonts w:ascii="Times New Roman" w:cs="Times New Roman" w:eastAsia="Times New Roman" w:hAnsi="Times New Roman"/>
          <w:sz w:val="18"/>
          <w:szCs w:val="18"/>
          <w:color w:val="auto"/>
        </w:rPr>
        <w:t xml:space="preserve">” means, with respect to any Tranche Two Lender at any time, the percentage of the aggregate Tranche Two Commitments represented by such Tranche Two Lender’s Tranche Two Commitment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Section 2.20 when a Defaulting Lender that is a Tranche Two Lender shall exist, “Tranche Two Percentage” shall mean, with respect to any Tranche Two Lender at any time, the percentage of the aggregate Tranche Two Commitments (disregarding any Defaulting Lender’s Tranche Two Commitment) represented by such Tranche Two Lender’s Tranche Two Commitment at such time. If the Tranche Two Commitments have expired or been terminated, the Tranche Two Percentages shall be determined on the basis of the Tranche Two Commitments most recently in effect, giving effect to any assignments and to any Tranche Two Lender’s status as a Defaulting Lender at the time of determination.</w:t>
      </w:r>
    </w:p>
    <w:p>
      <w:pPr>
        <w:spacing w:after="0" w:line="18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Term SOFR (other than as a result of clause (c) of the definition of “Alternate Base Rate”), the Daily Simple SOFR (if applicable pursuant to Section 2.12), the Daily Simple SONIA, the EURIBO Rate, the Adjusted Term CORRA, the Adjusted Daily Simple CORRA (if applicable pursuant to Section 2.12), the STIBO Rate or the Alternate Base Rate.</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6" w:name="page47"/>
    <w:bookmarkEnd w:id="46"/>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Benchmark Replacement excluding the Benchmark Replacement Adjustment.</w:t>
      </w:r>
    </w:p>
    <w:p>
      <w:pPr>
        <w:spacing w:after="0" w:line="225" w:lineRule="exact"/>
        <w:rPr>
          <w:sz w:val="20"/>
          <w:szCs w:val="20"/>
          <w:color w:val="auto"/>
        </w:rPr>
      </w:pPr>
    </w:p>
    <w:p>
      <w:pPr>
        <w:ind w:left="4"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Unfunded Liabilities</w:t>
      </w:r>
      <w:r>
        <w:rPr>
          <w:rFonts w:ascii="Times New Roman" w:cs="Times New Roman" w:eastAsia="Times New Roman" w:hAnsi="Times New Roman"/>
          <w:sz w:val="17"/>
          <w:szCs w:val="17"/>
          <w:color w:val="auto"/>
        </w:rPr>
        <w:t>” means, with respect to any Plan at any time, the amount (if any) by which (a) the value of all benefit liabilities under such Plan, determined on a plan termination basis using the assumptions prescribed by the PBGC for purposes of Section 4044 of ERISA, exceeds</w:t>
      </w:r>
    </w:p>
    <w:p>
      <w:pPr>
        <w:spacing w:after="0" w:line="1" w:lineRule="exact"/>
        <w:rPr>
          <w:sz w:val="20"/>
          <w:szCs w:val="20"/>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all Plan assets allocable to such liabilities under Title IV of ERISA (excluding any accrued but unpaid contributions), all</w:t>
      </w:r>
    </w:p>
    <w:p>
      <w:pPr>
        <w:spacing w:after="0" w:line="9" w:lineRule="exact"/>
        <w:rPr>
          <w:rFonts w:ascii="Times New Roman" w:cs="Times New Roman" w:eastAsia="Times New Roman" w:hAnsi="Times New Roman"/>
          <w:sz w:val="18"/>
          <w:szCs w:val="18"/>
          <w:color w:val="auto"/>
        </w:rPr>
      </w:pPr>
    </w:p>
    <w:p>
      <w:pPr>
        <w:ind w:left="4"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as of the then most recent valuation date for such Plan, but only to the extent that such excess represents a potential liability of a member of the ERISA Group to the PBGC or any other Person under Title IV of ERISA.</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including the States and the District of Columbia, but excluding its territories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possessions.</w:t>
      </w:r>
    </w:p>
    <w:p>
      <w:pPr>
        <w:spacing w:after="0" w:line="207"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 Equivalent</w:t>
      </w:r>
      <w:r>
        <w:rPr>
          <w:rFonts w:ascii="Times New Roman" w:cs="Times New Roman" w:eastAsia="Times New Roman" w:hAnsi="Times New Roman"/>
          <w:sz w:val="18"/>
          <w:szCs w:val="18"/>
          <w:color w:val="auto"/>
        </w:rPr>
        <w:t>” means, on any date of determination, (a) with respect to any amount in US Dollars, such amount, and (b) with respect to any amount in any currency other than US Dollars, the equivalent in US Dollars of such amount, determined by the Agent pursuant to Section 1.04 using the Exchange Rate or the LC Exchange Rate, as applicable, with respect to such currency at the time in effect under the provisions of such Section.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set forth in Section 9.22(a).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set forth in Section 2.15.</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7" w:name="page48"/>
    <w:bookmarkEnd w:id="47"/>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Accounting Terms and Determinations</w:t>
      </w:r>
      <w:r>
        <w:rPr>
          <w:rFonts w:ascii="Times New Roman" w:cs="Times New Roman" w:eastAsia="Times New Roman" w:hAnsi="Times New Roman"/>
          <w:sz w:val="18"/>
          <w:szCs w:val="18"/>
          <w:color w:val="auto"/>
        </w:rPr>
        <w:t xml:space="preserve">. Unless otherwise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(except for changes concurred in by the Company’s independent registered public accounting firm) with the most recent audited consolidated financial statements of the Company and its Consolidated Subsidiaries delivered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Company notifies the Agent that the Company wishes to amend any covenant in Article V to eliminate the effect of any change in GAAP or in the application thereof on the operation of such covenant (or if the Agent notifies the Company that the Required Lenders wish to amend Article V for such purpose), regardless of whether any such notice is given before or after such change in GAAP or in the application thereof, then the Company’s compliance with such covenant shall be determined on the basis of GAAP in effect immediately before the relevant change in GAAP or in the application thereof became effective, until either such notice is withdrawn or such covenant is amended in a manner satisfactory to the Company and the Required Lenders, and (ii) notwithstanding any other provision contained herein, all accounting terms used herein shall be interpreted (other than for purposes of Sections 3.04(a), 5.01(a) and 5.01(b)), and all computations of amounts and ratios referred to herein shall be made, without giving effect to (A) any election under Financial Accounting Standards Board Accounting Standards Codification 825 (or any other Accounting Standards Codification having a similar result or effect) (and related interpretations) to value any Debt of the Company or any Subsidiary at “fair value”, as defined therein, (B) any treatment of Debt in respect of convertible debt instruments under Accounting Standards Codification 470-20 (or any other Accounting Standards Codification or Financial Accounting Standard having a similar result or effect) (and related interpretations) to value any such Debt in a reduced or bifurcated manner as described therein, and such Debt shall at all times be valued at the full stated principal amount thereof, and (C) any valuation of Debt below its full stated principal amount as a result of application of Financial Accounting Standards Board Accounting Standards Update No. 2015-03, it being agreed that Debt shall at all times be valued at the full stated principal amount thereof.</w:t>
      </w:r>
    </w:p>
    <w:p>
      <w:pPr>
        <w:spacing w:after="0" w:line="19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“Tranche One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“Tranche One Term Benchmark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“Tranche One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“Tranche One Term Benchmark Borrowing”).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8" w:name="page49"/>
    <w:bookmarkEnd w:id="48"/>
    <w:p>
      <w:pPr>
        <w:ind w:left="4" w:right="6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7"/>
          <w:szCs w:val="17"/>
          <w:u w:val="single" w:color="auto"/>
          <w:color w:val="auto"/>
        </w:rPr>
        <w:t>Currency Translation</w:t>
      </w:r>
      <w:r>
        <w:rPr>
          <w:rFonts w:ascii="Times New Roman" w:cs="Times New Roman" w:eastAsia="Times New Roman" w:hAnsi="Times New Roman"/>
          <w:sz w:val="17"/>
          <w:szCs w:val="17"/>
          <w:color w:val="auto"/>
        </w:rPr>
        <w:t>. The Agent shall determine the US Dollar Equivalent of any Loan or Letter of Credit denominated in a Designated Foreign Currency or an Agreed LC Currency, as applicable, as of each applicable Exchange Rate Date, in each case using the Exchange Rate for such Designated Foreign Currency or Agreed LC Currency, as applicable, in relation to US Dollars, and each such amount shall be the</w:t>
      </w:r>
    </w:p>
    <w:p>
      <w:pPr>
        <w:spacing w:after="0" w:line="2" w:lineRule="exact"/>
        <w:rPr>
          <w:sz w:val="20"/>
          <w:szCs w:val="20"/>
          <w:color w:val="auto"/>
        </w:rPr>
      </w:pPr>
    </w:p>
    <w:p>
      <w:pPr>
        <w:ind w:left="4" w:right="80"/>
        <w:spacing w:after="0" w:line="250" w:lineRule="auto"/>
        <w:rPr>
          <w:sz w:val="20"/>
          <w:szCs w:val="20"/>
          <w:color w:val="auto"/>
        </w:rPr>
      </w:pPr>
      <w:r>
        <w:rPr>
          <w:rFonts w:ascii="Times New Roman" w:cs="Times New Roman" w:eastAsia="Times New Roman" w:hAnsi="Times New Roman"/>
          <w:sz w:val="18"/>
          <w:szCs w:val="18"/>
          <w:color w:val="auto"/>
        </w:rPr>
        <w:t xml:space="preserve">US Dollar Equivalent of such Loan or Letter of Credit until the next required calculation thereof pursuant to this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in addition determine the US Dollar Equivalent of any Letter of Credit denominated in any currency other than US Dollars as provided in</w:t>
      </w:r>
    </w:p>
    <w:p>
      <w:pPr>
        <w:spacing w:after="0" w:line="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Sections 2.04(f) and 2.04(n). Notwithstanding the foregoing, for purposes of any determination under Article V (other than Section 5.07) or Article VI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 5.07, amounts in currencies other than US Dollars shall be translated into US Dollars at the currency exchange rates most recently used in preparing the Company’s annual and quarterly financial statements.</w:t>
      </w:r>
    </w:p>
    <w:p>
      <w:pPr>
        <w:spacing w:after="0" w:line="187"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Except as otherwise expressly provided herein and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supplemented or otherwise modified (subject to any restrictions on such amendments, supplements or modifications set forth herein),</w:t>
      </w:r>
    </w:p>
    <w:p>
      <w:pPr>
        <w:spacing w:after="0" w:line="4" w:lineRule="exact"/>
        <w:rPr>
          <w:sz w:val="20"/>
          <w:szCs w:val="20"/>
          <w:color w:val="auto"/>
        </w:rPr>
      </w:pPr>
    </w:p>
    <w:p>
      <w:pPr>
        <w:ind w:left="4" w:right="60" w:hanging="4"/>
        <w:spacing w:after="0" w:line="25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49" w:name="page50"/>
    <w:bookmarkEnd w:id="49"/>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denominated in US Dollars or a Designated Foreign Currency may be derived from an interest rate benchmark that may be discontinued or is, or may in the future become, the subject of regulatory reform. Upon the occurrence of a Benchmark Transition Event or a Term CORRA Reelection Event, Section 2.12(b) provides a mechanism for determining an alternative rate of interest. The Agent does not warrant or accept any responsibility for, and shall not have any liability with respect to, the administration, submission, calculation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Agent and its Affiliates and/or other related Persons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Blocking Regulation</w:t>
      </w:r>
      <w:r>
        <w:rPr>
          <w:rFonts w:ascii="Times New Roman" w:cs="Times New Roman" w:eastAsia="Times New Roman" w:hAnsi="Times New Roman"/>
          <w:sz w:val="18"/>
          <w:szCs w:val="18"/>
          <w:color w:val="auto"/>
        </w:rPr>
        <w:t>. In relation to any Lender that is subject to the regulations referred to below (each, a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any representation, warranty or covenant set forth herein that refers to Sanctions (each, a “</w:t>
      </w:r>
      <w:r>
        <w:rPr>
          <w:rFonts w:ascii="Times New Roman" w:cs="Times New Roman" w:eastAsia="Times New Roman" w:hAnsi="Times New Roman"/>
          <w:sz w:val="18"/>
          <w:szCs w:val="18"/>
          <w:u w:val="single" w:color="auto"/>
          <w:color w:val="auto"/>
        </w:rPr>
        <w:t>Specified Provision</w:t>
      </w:r>
      <w:r>
        <w:rPr>
          <w:rFonts w:ascii="Times New Roman" w:cs="Times New Roman" w:eastAsia="Times New Roman" w:hAnsi="Times New Roman"/>
          <w:sz w:val="18"/>
          <w:szCs w:val="18"/>
          <w:color w:val="auto"/>
        </w:rPr>
        <w:t>”) shall only apply for the benefit of such Restricted Lender to the extent that such Specified Provision would not result in a violation of, conflict with or liability under Council Regulation (EC) 2271/96 (or any law implementing such regulation in any member state of the European Union) or any similar blocking or anti-boycott law in Germany (including, in the case of Germany, section 7 foreign trade rules (</w:t>
      </w:r>
      <w:r>
        <w:rPr>
          <w:rFonts w:ascii="Times New Roman" w:cs="Times New Roman" w:eastAsia="Times New Roman" w:hAnsi="Times New Roman"/>
          <w:sz w:val="18"/>
          <w:szCs w:val="18"/>
          <w:i w:val="1"/>
          <w:iCs w:val="1"/>
          <w:color w:val="auto"/>
        </w:rPr>
        <w:t>Auβenwirtschaftsverordnung – AWV)</w:t>
      </w:r>
      <w:r>
        <w:rPr>
          <w:rFonts w:ascii="Times New Roman" w:cs="Times New Roman" w:eastAsia="Times New Roman" w:hAnsi="Times New Roman"/>
          <w:sz w:val="18"/>
          <w:szCs w:val="18"/>
          <w:color w:val="auto"/>
        </w:rPr>
        <w:t xml:space="preserve"> in connection with section 4 paragraph 1 foreign trade law (</w:t>
      </w:r>
      <w:r>
        <w:rPr>
          <w:rFonts w:ascii="Times New Roman" w:cs="Times New Roman" w:eastAsia="Times New Roman" w:hAnsi="Times New Roman"/>
          <w:sz w:val="18"/>
          <w:szCs w:val="18"/>
          <w:i w:val="1"/>
          <w:iCs w:val="1"/>
          <w:color w:val="auto"/>
        </w:rPr>
        <w:t>Auβenwirtschaftsgesetz</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AWG</w:t>
      </w:r>
      <w:r>
        <w:rPr>
          <w:rFonts w:ascii="Times New Roman" w:cs="Times New Roman" w:eastAsia="Times New Roman" w:hAnsi="Times New Roman"/>
          <w:sz w:val="18"/>
          <w:szCs w:val="18"/>
          <w:color w:val="auto"/>
        </w:rPr>
        <w:t>)) or in the United Kingdom (the “</w:t>
      </w:r>
      <w:r>
        <w:rPr>
          <w:rFonts w:ascii="Times New Roman" w:cs="Times New Roman" w:eastAsia="Times New Roman" w:hAnsi="Times New Roman"/>
          <w:sz w:val="18"/>
          <w:szCs w:val="18"/>
          <w:u w:val="single" w:color="auto"/>
          <w:color w:val="auto"/>
        </w:rPr>
        <w:t>Mandatory Restrictions</w:t>
      </w:r>
      <w:r>
        <w:rPr>
          <w:rFonts w:ascii="Times New Roman" w:cs="Times New Roman" w:eastAsia="Times New Roman" w:hAnsi="Times New Roman"/>
          <w:sz w:val="18"/>
          <w:szCs w:val="18"/>
          <w:color w:val="auto"/>
        </w:rPr>
        <w:t>”). In the event of any consent or direction by Lenders in respect of any Specified Provision of which a Restricted Lender does not have the benefit due to a Mandatory Restriction, then, notwithstanding anything to the contrary in the definition of Required Lenders, for so long as such Restricted Lender shall be subject to a Mandatory Restriction, the Commitment and the Credit Exposure of such Restricted Lender will be disregarded for the purpose of determining whether the requisite consent of the Lenders has been obtained or direction by the requisite Lenders has been made, it being agreed, however, that, unless, in connection with any such determination, the Agent shall have received written notice from any Lender stating that such Lender is a Restricted Lender with respect thereto, each Lender shall be presumed, in connection with such determination, not to be a Restricted Lender.</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40" w:top="270" w:right="51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Tranche One Commitments.</w:t>
      </w:r>
      <w:r>
        <w:rPr>
          <w:rFonts w:ascii="Times New Roman" w:cs="Times New Roman" w:eastAsia="Times New Roman" w:hAnsi="Times New Roman"/>
          <w:sz w:val="18"/>
          <w:szCs w:val="18"/>
          <w:color w:val="auto"/>
        </w:rPr>
        <w:t xml:space="preserve"> Subject to the terms and conditions set forth herein, each Tranche One Lender agrees to make Tranche One Loans denominated in US Dollars, Sterling, Euro, Canadian Dollars or Swedish Kronor to the Borrowers from time to time during the Availability Period in an aggregate principal amount at any time outstanding that will not result (after giving effect to any application of proceeds of such Borrowing pursuant to Section 2.09) in (i) the aggregate Tranche One Credit Exposures exceeding the aggregate Tranche One Commitments or (ii) the Tranche One Credit Exposure of any Lender exceeding its Tranche One Commitment. Within the foregoing limits and subject to the terms and conditions set forth herein, the Borrowers may borrow, prepay and reborrow Tranche One Loans.</w:t>
      </w:r>
    </w:p>
    <w:p>
      <w:pPr>
        <w:spacing w:after="0" w:line="79" w:lineRule="exact"/>
        <w:rPr>
          <w:sz w:val="20"/>
          <w:szCs w:val="20"/>
          <w:color w:val="auto"/>
        </w:rPr>
      </w:pPr>
    </w:p>
    <w:p>
      <w:pPr>
        <w:ind w:left="440" w:right="20" w:firstLine="419"/>
        <w:spacing w:after="0" w:line="256"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Tranche Two Commitments.</w:t>
      </w:r>
      <w:r>
        <w:rPr>
          <w:rFonts w:ascii="Times New Roman" w:cs="Times New Roman" w:eastAsia="Times New Roman" w:hAnsi="Times New Roman"/>
          <w:sz w:val="18"/>
          <w:szCs w:val="18"/>
          <w:color w:val="auto"/>
        </w:rPr>
        <w:t xml:space="preserve"> Subject to the terms and conditions set forth herein, each Tranche Two Lender agrees to make Tranche Two Loans denominated in US Dollars, Sterling, Euro or Canadian Dollars to the Borrowers from time to time during the Availability Period in an aggregate principal amount at any time outstanding that will not result (after giving effect to any application of proceeds of such Borrowing pursuant to Section 2.09) in (i) the aggregate Tranche Two Credit Exposures exceeding the aggregate Tranche Two Commitments or (ii) the Tranche Two Credit Exposure of any Lender exceeding its Tranche Two Commitment. Within the foregoing limits and subject to the terms and conditions set forth herein, the Borrowers may borrow, prepay and reborrow Tranche Two Loans.</w:t>
      </w:r>
    </w:p>
    <w:p>
      <w:pPr>
        <w:spacing w:after="0" w:line="187"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Tranche One Loan shall be made as part of a Tranche One Borrowing consisting of Tranche One Loans of the same Type and currency made by the Tranche One Lenders ratably in accordance with their respective Tranche One Commitments. Each Tranche Two Loan shall be made as part of a Tranche Two Borrowing consisting of Tranche Two Loans of the same Type and currency made by the Tranche Two Lenders ratably in accordance with their respective Tranche Two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79" w:lineRule="exact"/>
        <w:rPr>
          <w:sz w:val="20"/>
          <w:szCs w:val="20"/>
          <w:color w:val="auto"/>
        </w:rPr>
      </w:pPr>
    </w:p>
    <w:p>
      <w:pPr>
        <w:ind w:left="440" w:firstLine="419"/>
        <w:spacing w:after="0" w:line="276" w:lineRule="auto"/>
        <w:tabs>
          <w:tab w:leader="none" w:pos="111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2.12, (i) each Borrowing denominated in US Dollars shall be comprised entirely of Term SOFR Loans or ABR Loans, as the Borrowers may request in accordance herewith, (ii) each Borrowing denominated in Euro shall be comprised entirely of EURIBOR Loans,</w:t>
      </w:r>
    </w:p>
    <w:p>
      <w:pPr>
        <w:ind w:left="440" w:right="160" w:hanging="4"/>
        <w:spacing w:after="0" w:line="260" w:lineRule="auto"/>
        <w:tabs>
          <w:tab w:leader="none" w:pos="7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denominated in Canadian Dollars shall be comprised entirely of Term CORRA Loans, (iv) each Borrowing denominated in Sterling shall be comprised entirely of SONIA Loans and (v) each</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1" w:name="page52"/>
    <w:bookmarkEnd w:id="51"/>
    <w:p>
      <w:pPr>
        <w:ind w:left="44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Borrowing denominated in Swedish Kronor shall be comprised entirely of STIBOR Loans.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applicable Borrower to repay such Loan in accordance with the terms of this Agreement.</w:t>
      </w:r>
    </w:p>
    <w:p>
      <w:pPr>
        <w:spacing w:after="0" w:line="68" w:lineRule="exact"/>
        <w:rPr>
          <w:sz w:val="20"/>
          <w:szCs w:val="20"/>
          <w:color w:val="auto"/>
        </w:rPr>
      </w:pPr>
    </w:p>
    <w:p>
      <w:pPr>
        <w:ind w:left="440" w:right="20" w:firstLine="419"/>
        <w:spacing w:after="0" w:line="254"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Benchmark Borrowing,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 Benchmark Borrowing that results from a continuation of an outstanding Term Benchmark Borrowing may be in an aggregate amount that is equal to such outstanding Borrowing. At the time that each RFR Borrowing or ABR Borrowing is made,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RFR Borrowing or ABR Borrowing under any Tranche may be in an aggregate amount that is equal to the entire unused balance of the Commitments under such Tranche or that is required to finance the reimbursement of an LC Disbursement as contemplated by Section 2.04(f). Borrowings of more than one Type may be outstanding at the same time; provided that there shall not at any time be more than a total of 10 Term Benchmark Borrowings or RFR Borrowings outstanding.</w:t>
      </w:r>
    </w:p>
    <w:p>
      <w:pPr>
        <w:spacing w:after="0" w:line="8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Term Benchmark Borrowing if the Interest Period requested with respect thereto would end after the Maturity Date.</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Borrowing, the applicable Borrower or the Company on behalf of the applicable Borrowing Subsidiary shall deliver to the Agent a completed written Notice of Borrowing signed by a Financial Officer of such Borrower or the Company,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request is delivered through an Approved Borrower Portal, then the foregoing signature requirements may be waived by the Agent in its sole discretion), not later than (a) in the case of a Term SOFR Borrowing, 12:00 noon, New York City time, three U.S. Government Securities Business Days prior to the date of the proposed Borrowing, (b) in the case of a EURIBOR Borrowing, a Term CORRA Borrowing or a STIBOR Borrowing, 12:00 noon, New York City time, three Business Days prior to the date of the proposed Borrowing, (c) in the case of a SONIA Borrowing or, if applicable pursuant to Section 2.12, a Daily Simple SOFR Borrowing or a Daily Simple CORRA Borrowing, 12:00 noon, New York City time, five RFR Business Days prior to the date of the proposed Borrowing and (d) in the case of an ABR Borrowing, 1:00 p.m., New York City time, on the date of the proposed Borrowing. Each Notice of Borrowing shall specify the following information in compliance with Section 2.02:</w:t>
      </w:r>
    </w:p>
    <w:p>
      <w:pPr>
        <w:spacing w:after="0" w:line="86" w:lineRule="exact"/>
        <w:rPr>
          <w:sz w:val="20"/>
          <w:szCs w:val="20"/>
          <w:color w:val="auto"/>
        </w:rPr>
      </w:pPr>
    </w:p>
    <w:p>
      <w:pPr>
        <w:ind w:left="1100" w:hanging="241"/>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requesting such Borrowing;</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under which such Borrowing is to be made;</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the principal amount of such Borrowing;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2" w:name="page53"/>
    <w:bookmarkEnd w:id="52"/>
    <w:p>
      <w:pPr>
        <w:ind w:left="1120" w:hanging="261"/>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such Borrowing;</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 and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Funding Account or, in the case of any ABR Borrowing to finance the reimbursement of an LC Disbursement as provided in Section 2.04(f), the identity of the Issuing Bank that made such LC Disbursement.</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Any Notice of Borrowing that shall fail to specify any of the information required by the preceding provisions of this Section may be rejected by the Agent if such failure is not corrected promptly after the Agent shall give written notice thereof to the applicable Borrower or the Company and, if so rejected, will be of no force or effect. Promptly following receipt of a Notice of Borrowing in accordance with this Section, the Agent shall advise each Lender that will make a Loan as part of the requested Borrowing of the details thereof and of the amount of such Lender’s Loan to be made as part of the requested Borrowing.</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any Borrower may request any Issuing Bank to issue (or to amend or extend) Tranche One Letters of Credit or Tranche Two Letters of Credit denominated in any Agreed Currency or any Agreed LC Currency, in each case, as the applicant thereof for the support of its or its subsidiaries’ obligations, in a form reasonably acceptable to the applicable Issuing Bank, at any time and from time to time during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Issuing Bank, other than JPMorgan, BofA, HSBC and ING, will be required to issue Letters of Credit denominated in any Designated Foreign Currency not set forth in such Issuing Bank’s Issuing Bank Agreement, (b) no Borrower will request a Tranche Two Letter of Credit at a time when the aggregate Tranche One Credit Exposures amount to less than 50% of the aggregate Tranche One Commitments, (c) no Issuing Bank shall be under any obligation to issue a Letter of Credit that would result in more than a total of 20 Letters of Credit outstanding and (d) neither HSBC nor ING shall be required to issue commercial Letters of Credit unless otherwise agreed by it. In the event of any inconsistency between the terms and conditions of this Agreement and the terms and conditions of any form of letter of credit application or other agreement submitted by any Borrower or any Subsidiary to, or entered into by a Borrower or any Subsidiary with, an Issuing Bank relating to any Letter of Credit, the terms and conditions of this Agreement shall control.</w:t>
      </w:r>
    </w:p>
    <w:p>
      <w:pPr>
        <w:spacing w:after="0" w:line="84" w:lineRule="exact"/>
        <w:rPr>
          <w:sz w:val="20"/>
          <w:szCs w:val="20"/>
          <w:color w:val="auto"/>
        </w:rPr>
      </w:pPr>
    </w:p>
    <w:p>
      <w:pPr>
        <w:ind w:left="440" w:right="80" w:firstLine="419"/>
        <w:spacing w:after="0" w:line="258"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To request the issuance of a Letter of Credit (or the amendment or extension of an outstanding Letter of Credit, other than an automatic extension permitted pursuant to paragraph (c) of this Section), a Borrower shall deliver to an Issuing Bank selected by it and to the Agent (including any delivery through an Approved Borrower Portal, if arrangements for doing so have been approved by the Agent and the applicable Issuing Bank), at least three Business Days in advance of the requested date of issuance, amendment or extension, a notice requesting the issuance of a Letter of Credit, or identifying the Letter of Credit to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or extended, and specifying the requested date of issuance, amendment or extension (which shall be a Business Day), the date on which such Letter of Credit is to expire (which shall comply with paragraph (c) of this Section), the amount and currency of such Letter of Credit, the name and address of the beneficiary thereof, whether such Letter of Credit is to be a Tranche One Letter of Credit or a Tranche Two Letter of Credit and such other information as shall be necessary to enable the applicable Issuing Bank to prepare, amend or extend such Letter of Credit. If requested by the applicable Issuing Bank, the applicable Borrower shall enter into a continuing agreement (or other letter of credit agreement) for the issuance of letters of credit and/or shall submit a letter of credit application, in each case, on such Issuing Bank’s standard form in connection with any request for a Letter of Credit. A Letter of Credit shall be issued, amended or extended only if (and upon issuance, amendment or extension of each Letter of Credit the applicable Borrower shall be deemed to represent and warrant that), after giving effect to such issuance, amendment or extension (i) the LC Exposure shall not exceed US$250,000,000, (ii) the amount of the LC Exposure attributable to Letters of Credit issued by the applicable Issuing Bank will not exceed the LC Commitment of such Issuing Bank, (iii) the aggregate Tranche One Credit Exposures shall not exceed the aggregate Tranche One Commitments, (iv) the Tranche One Credit Exposure of any Lender will not exceed its Tranche One Commitment, (v) the aggregate Tranche Two Credit Exposures shall not exceed the aggregate Tranche Two Commitments, (vi) the Tranche Two Credit Exposure of any Lender will not exceed its Tranche Two Commitment or (vii) in the event the Maturity Date shall have been extended as provided in Section 2.21, (x) the Tranche One LC Exposure attributable to Letters of Credit expiring after any Existing Maturity Date will not exceed the aggregate Tranche One Commitments that shall have been extended to a date after the latest expiration date of such Letters of Credit and (y) the Tranche Two LC Exposure attributable to Letters of Credit expiring after any Existing Maturity Date will not exceed the aggregate Tranche Two Commitments that shall have been extended to a date after the latest expiration date of such Letters of Credit. No Issuing Bank shall be under any obligation to issue, amend or extend any Letter of Credit if (A) any order, judgment or decree of any Governmental Authority or arbitrator shall by its terms purport to enjoin or restrain such Issuing Bank from issuing, amending or extending such Letter of Credit,</w:t>
      </w:r>
    </w:p>
    <w:p>
      <w:pPr>
        <w:spacing w:after="0" w:line="6" w:lineRule="exact"/>
        <w:rPr>
          <w:sz w:val="20"/>
          <w:szCs w:val="20"/>
          <w:color w:val="auto"/>
        </w:rPr>
      </w:pPr>
    </w:p>
    <w:p>
      <w:pPr>
        <w:ind w:left="4" w:hanging="4"/>
        <w:spacing w:after="0" w:line="251" w:lineRule="auto"/>
        <w:tabs>
          <w:tab w:leader="none" w:pos="2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and which such Issuing Bank in good faith deems material or shall impose upon such Issuing Bank any unreimbursed loss, cost or expense which was not applicable on the Effective Date and which such Issuing Bank in good faith deems material or (C) the issuance of such Letter of Credit would violate one or more policies of such Issuing Bank applicable to letters of credit generally. Each Issuing Bank agrees that it shall not permit any issuance, amendment or extension of a Letter of Credit to occur unless it shall have given to the Agent written notice thereof as contemplated in this Section.</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4"/>
          </w:cols>
          <w:pgMar w:left="876" w:top="270" w:right="459" w:bottom="1440" w:gutter="0" w:footer="0" w:header="0"/>
        </w:sectPr>
      </w:pPr>
    </w:p>
    <w:bookmarkStart w:id="54" w:name="page55"/>
    <w:bookmarkEnd w:id="54"/>
    <w:p>
      <w:pPr>
        <w:ind w:firstLine="419"/>
        <w:spacing w:after="0" w:line="255" w:lineRule="auto"/>
        <w:tabs>
          <w:tab w:leader="none" w:pos="6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one year after the date of the issuance of such Letter of Credit (or, in the case of any extension thereof, one year after the then-current expiration date) and (ii) the date that is five Business Days prior to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contain customary automatic extension provisions agreed upon by the Borrower and the applicable Issuing Bank pursuant to which the expiration date of such Letter of Credit shall automatically be extended for a period of up to 12 months (but not to a date later than the date set forth in clause (ii) above), subject to a right on the part of such Issuing Bank to prevent any such extension from occurring pursuant to the terms of such Letter of Credit by giving notice to the beneficiary during a specified period in advance of any such extension.</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or extending the term thereof or a designation of an Existing Letter of Credit pursuant to the definition of such term) and without any further action on the part of the applicable Issuing Bank or the Lenders, the applicable Issuing Bank hereby grants to each Tranche One Lender or Tranche Two Lender, as applicable, and each Tranche One Lender or Tranche Two Lender, as applicable, hereby acquires from such Issuing Bank, a participation in such Letter of Credit equal to such Lender’s Tranche One Percentage or Tranche Two Percentage, as applicable, from time to time of the aggregate amount available to be drawn under such Letter of Credit. In consideration and in furtherance of the foregoing, each Tranche One Lender or Tranche Two Lender, as applicable, hereby absolutely and unconditionally agrees to pay to the Agent, for the account of such Issuing Bank, such Lender’s Tranche One Percentage or Tranche Two Percentage, as applicable, of each LC Disbursement made by such Issuing Bank and not reimbursed by the applicable Borrower on the date due as provided in paragraph (f) of this Section, or of any reimbursement payment required to be refunded to the applicable Borrower for any reason, including after the Maturity Date. Such payment by the Tranche One Lenders and the Tranche Two Lenders shall be made (i) subject to paragraph (n) of this Section, if the currency of the applicable LC Disbursement or reimbursement payment shall be a Designated Foreign Currency (other than, in the case of a Tranche Two Letter of Credit, Swedish Kronor), then in the currency of the applicable LC Disbursement or reimbursement payment and (ii) if the currency of the applicable LC Disbursement or reimbursement payment is an Agreed LC Currency or, in the case of a Tranche Two Letter of Credit, Swedish Kronor, then in US Dollars in an amount equal to the US Dollar Equivalent of such LC Disbursement or reimbursement payment, calculated by the Agent using the LC Exchange Rate on the applicable LC Participation Calculation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any reduction or termination of the Tranche One Commitments or Tranche Two Commitments or any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or other event that under any rule of law or uniform practices to which any Letter of Credit is subject (including Section 3.14 of the ISP or any successor publication of the International Chamber of Commerce) permits a drawing to be made under such Letter of Credit after the</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20"/>
          </w:cols>
          <w:pgMar w:left="880" w:top="270" w:right="499" w:bottom="1440" w:gutter="0" w:footer="0" w:header="0"/>
        </w:sectPr>
      </w:pPr>
    </w:p>
    <w:bookmarkStart w:id="55" w:name="page56"/>
    <w:bookmarkEnd w:id="5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expiration thereof or of the Tranche One Commitments or Tranche Two Commitments, and that each such payment shall be made without any offset, abatement, withholding or reduction whatsoever. Each Lender further acknowledges and agrees that, in issuing, amending or extending any Letter of Credit, the relevant Issuing Bank shall be entitled to rely, and shall not incur any liability for relying, upon the representation of and warranty of the applicable Borrower deemed made pursuant to Section 4.02.</w:t>
      </w:r>
    </w:p>
    <w:p>
      <w:pPr>
        <w:spacing w:after="0" w:line="72" w:lineRule="exact"/>
        <w:rPr>
          <w:sz w:val="20"/>
          <w:szCs w:val="20"/>
          <w:color w:val="auto"/>
        </w:rPr>
      </w:pPr>
    </w:p>
    <w:p>
      <w:pPr>
        <w:ind w:right="80" w:firstLine="419"/>
        <w:spacing w:after="0" w:line="256" w:lineRule="auto"/>
        <w:tabs>
          <w:tab w:leader="none" w:pos="6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that is the issuer of such Letter of Credit shall, within the time allowed by applicable law or the specific terms of such Letter of Credit following its receipt thereof, examine all documents purporting to represent a demand for payment under a Letter of Credit. Such Issuing Bank shall promptly after such examination notify the Agent and the applicable Borrower by telephone or email (and, in the case of telephonic notice, promptly confirmed by email)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applicable Borrower of its obligation to reimburse such Issuing Bank and the Lenders with respect to any such LC Disbursement.</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applicable Borrower shall reimburse such LC Disbursement by paying to the Agent an amount equal to such LC Disbursement, in the currency of such LC Disbursement, not later than (i) if the Borrower shall have received notice of such LC Disbursement prior to 10:00 a.m., New York City time, on any Business Day, then 1:30 p.m., New York City time, on such Business Day or (ii) otherwise, 1:30 p.m., New York City time, on the Business Day immediately following the day that the Borrower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Borrower may, subject to the conditions to borrowing set forth herein, request in accordance with Section 2.03 that such payment be financed with (A) in the case of an LC Disbursement in US Dollars, an ABR Borrowing under Section 2.01 in an equivalent amount and (B) in the case of an LC Disbursement in a currency other than US Dollars, an ABR Borrowing under Section 2.01 in an amount determined by the applicable Issuing Bank to be sufficient, based on current Exchange Rates, to enable it to purchase an amount of such currency equal to the amount of such LC Disbursement, and, to the extent so financed, such Borrower’s obligation to make such payment shall be discharged and replaced by the resulting ABR Borrowing. If the applicable Borrower fails to make such payment when due then, upon notice from the applicable Issuing Bank to such Borrower and the Agent, (i) if (A) such Letter of Credit is a Tranche Two Letter of Credit and the currency of such Letter of Credit is Swedish Kronor or (B) the currency of such Letter of Credit is an Agreed LC Currency, such Borrower’s obligation to reimburse such LC Disbursement shall be automatically and with no further action required converted into an obligation to reimburse the US Dollar Equivalent, calculated by the Agent using the LC Exchange Rate on the applicable LC Participation Calculation Date, of such LC Disbursement and (ii) the Agent shall notify each Tranche One Lender or Tranche Two Lender, as applicable, of the applicable LC Disbursement, the amount and currency of the payment then due from the applicable Borrower in respect thereof and such Lender’s Tranche One Percentage or Tranche Two Percentage thereof.</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80"/>
          </w:cols>
          <w:pgMar w:left="880" w:top="270" w:right="439" w:bottom="1440" w:gutter="0" w:footer="0" w:header="0"/>
        </w:sectPr>
      </w:pPr>
    </w:p>
    <w:bookmarkStart w:id="56" w:name="page57"/>
    <w:bookmarkEnd w:id="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following receipt of such notice (and, in any event, no later than the next Business Day), each applicable Lender shall pay to the Agent in the applicable currency its Tranche One Percentage or Tranche Two Percentage, as applicable, of the payment then due from the applicable Borrower, in the same manner as provided in Section 2.05 with respect to Loans made by such Tranche One Lender or Tranche Two Lender, as applicable (and Section 2.05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applicable Lenders pursuant to this paragraph), and the Agent shall promptly remit to such Issuing Bank the amounts so received by it from the Tranche One Lenders or Tranche Two Lenders, as applicable. Promptly following receipt by the Agent of any payment from the applicable Borrower pursuant to this paragraph, the Agent shall distribute such payment to such Issuing Bank or, to the extent that Tranche One Lenders or Tranche Two Lenders have made payments pursuant to this paragraph to reimburse such Issuing Bank, then to such Tranche One Lenders or Tranche Two Lenders and such Issuing Bank as their interests may appear. Any payment made by a Lender pursuant to this paragraph to reimburse any Issuing Bank for any LC Disbursement (other than the funding of ABR Loans as contemplated above) shall not constitute a Loan and shall not relieve the applicable Borrower of its obligation to reimburse such LC Disbursement.</w:t>
      </w:r>
    </w:p>
    <w:p>
      <w:pPr>
        <w:spacing w:after="0" w:line="84" w:lineRule="exact"/>
        <w:rPr>
          <w:sz w:val="20"/>
          <w:szCs w:val="20"/>
          <w:color w:val="auto"/>
        </w:rPr>
      </w:pPr>
    </w:p>
    <w:p>
      <w:pPr>
        <w:ind w:right="40" w:firstLine="419"/>
        <w:spacing w:after="0" w:line="252"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Each Borrower’s obligation to reimburse LC Disbursements as provided in paragraph (f)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(iv) any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or other event that under any rule of law or uniform practices to which any Letter of Credit is subject (including Section 3.14 of the ISP or any successor publication of the International Chamber of Commerce) permits a drawing to be made under such Letter of Credit after the stated expiration date thereof or of the Commitments or (v) any other event or circumstance whatsoever, whether or not similar to any of the foregoing, that might, but for the provisions of this Section, constitute a legal or equitable discharge of, or provide a right of setoff against, the applicable Borrower’s obligations hereunder or any adverse change in the relevant exchange rates or in the availability of the relevant Designated Foreign Currency to any Borrower or any Subsidiary or in the relevant currency markets generally. None of the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880" w:top="270" w:right="459" w:bottom="1440" w:gutter="0" w:footer="0" w:header="0"/>
        </w:sectPr>
      </w:pPr>
    </w:p>
    <w:bookmarkStart w:id="57" w:name="page58"/>
    <w:bookmarkEnd w:id="5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this Section shall be construed to excuse an Issuing Bank from liability to the applicable Borrower to the extent of any direct damages (as opposed to special, indirect, consequential or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final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86" w:lineRule="exact"/>
        <w:rPr>
          <w:sz w:val="20"/>
          <w:szCs w:val="20"/>
          <w:color w:val="auto"/>
        </w:rPr>
      </w:pPr>
    </w:p>
    <w:p>
      <w:pPr>
        <w:ind w:firstLine="419"/>
        <w:spacing w:after="0" w:line="253"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and at all times following the conversion to US Dollars of any LC Disbursement made in any currency other than US Dollars pursuant to paragraph (f) or (n) of this Section, the rate per annum then applicable to ABR Loans and (ii) in the case of any LC Disbursement denominated in a Designated Foreign Currency or an Agreed LC Currency, at all times prior to its conversion to US Dollars pursuant to paragraph (f) or (n) of this Section, the rate equal to the applicable Foreign Currency Overnight Rate plus the Applicable Rate used to determine interest applicable to Term Benchmark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Borrower fails to reimburse such LC Disbursement when due pursuant to paragraph (f) of this Section, then Section 2.11(f) shall apply. Interest accrued pursuant to this paragraph shall be for the account of the applicable Issuing Bank, except that interest accrued on and after the date of payment by any Lender pursuant to paragraph (f) of this Section to reimburse such Issuing Bank shall be for the account of such Lender to the extent of such payment, and shall be payable on demand or, if no demand has been made, on the date on which the applicable Borrower reimburses the applicable LC Disbursement in full.</w:t>
      </w:r>
    </w:p>
    <w:p>
      <w:pPr>
        <w:spacing w:after="0" w:line="81" w:lineRule="exact"/>
        <w:rPr>
          <w:rFonts w:ascii="Times New Roman" w:cs="Times New Roman" w:eastAsia="Times New Roman" w:hAnsi="Times New Roman"/>
          <w:sz w:val="18"/>
          <w:szCs w:val="18"/>
          <w:color w:val="auto"/>
        </w:rPr>
      </w:pPr>
    </w:p>
    <w:p>
      <w:pPr>
        <w:jc w:val="both"/>
        <w:ind w:firstLine="419"/>
        <w:spacing w:after="0" w:line="258"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Company receives notice from the Agent or the Required Lenders (or, if the maturity of the Loans has been accelerated, Lenders with LC Exposures representing more than 50% of the aggregate amount of the LC Exposures) demanding the deposit of cash collateral pursuant to this paragraph, each applicable Borrower shall deposit (“</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in respect of each outstanding Letter of Credit issued for such Borrower’s account, in an account with the Agent, in the name of the Agent and for the benefit of the Lenders and the applicable Issuing Bank, an amount in</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0"/>
          </w:cols>
          <w:pgMar w:left="880" w:top="270" w:right="459" w:bottom="1440" w:gutter="0" w:footer="0" w:header="0"/>
        </w:sectPr>
      </w:pPr>
    </w:p>
    <w:bookmarkStart w:id="58" w:name="page59"/>
    <w:bookmarkEnd w:id="5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cash and in the currency of such Letter of Credit equal to the portion of the LC Exposure attributable to such Letter of Credit as of such date plus any accrued and unpaid fees and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amounts payable in respect of any Letter of Credit denominated in any currency other than US Dollars, where the applicable Borrower’s reimbursement obligations under such Letter of Credit shall have been converted to obligations in US Dollars as provided in paragraph (f) or (n) of this Section, shall be payable in US Dollars, and (ii) the obligation to Cash Collateralize shall become effective immediately, and such deposit shall become immediately due and payable, without demand or other notice of any kind, upon the occurrence of any Event of Default with respect to the Company or any Borrower described in clause (g) or (h) of Section 6.01. The Borrowers also shall deposit cash collateral in accordance with this paragraph as and to the extent required by Section 2.20. Each such deposit shall be held by the Agent as collateral for the payment and performance of the obligations of the applicable Borrowers under this Agreement. The Agent shall have exclusive dominion and control, including the exclusive right of withdrawal, over such account. Other than any interest earned on the investment of such deposits, which investments shall be made at the option and sole discretion of the Agent and at the Borrowers’ risk and expense, such deposits shall not bear interest. Interest or profits, if any, on such investments shall accumulate in such account. Monies in such account shall, notwithstanding anything to the contrary in Section 2.16(b), be applied by the Agent to reimburse the applicable Issuing Banks for LC Disbursements for which they have not been reimbursed, together with related fees, costs and customary processing charges, and, to the extent not so applied, shall be held for the satisfaction of the reimbursement obligations of the applicable Borrowers for the LC Exposure at such time or, if the maturity of the Loans has been accelerated (but subject to (i) the consent of Lenders with LC Exposures representing more than 50% of the aggregate LC Exposures and (ii) in the case of any such application at a time when any Lender is a Defaulting Lender (but only if, after giving effect thereto, the remaining cash collateral in respect of the LC Exposure under any Tranche shall be less than the aggregate LC Exposures under such Tranche of all the Defaulting Lenders) the consent of each Issuing Bank), be applied to satisfy other obligations of the applicable Borrowers under the Loan Documents. If any Borrower is required to provide an amount of cash collateral hereunder as a result of the occurrence of an Event of Default, such amount of cash collateral (to the extent not applied as aforesaid) shall be returned to such Borrower within three Business Days after all Events of Default have been cured or waived. If any Borrower is required to provide an amount of cash collateral hereunder pursuant to Section 2.20, such amount (to the extent not applied as aforesaid) shall be returned to such Borrower as promptly as practicable to the extent that, after giving effect to such return, no Issuing Bank shall have any exposure in respect of any outstanding Letter of Credit that is not fully covered by the Commitments of the non-Defaulting Lenders and/or the remaining cash collateral and no Event of Default shall have occurred and be continuing.</w:t>
      </w:r>
    </w:p>
    <w:p>
      <w:pPr>
        <w:spacing w:after="0" w:line="96" w:lineRule="exact"/>
        <w:rPr>
          <w:sz w:val="20"/>
          <w:szCs w:val="20"/>
          <w:color w:val="auto"/>
        </w:rPr>
      </w:pPr>
    </w:p>
    <w:p>
      <w:pPr>
        <w:ind w:right="420" w:firstLine="419"/>
        <w:spacing w:after="0" w:line="266" w:lineRule="auto"/>
        <w:tabs>
          <w:tab w:leader="none" w:pos="6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Additional Issuing Banks.</w:t>
      </w:r>
      <w:r>
        <w:rPr>
          <w:rFonts w:ascii="Times New Roman" w:cs="Times New Roman" w:eastAsia="Times New Roman" w:hAnsi="Times New Roman"/>
          <w:sz w:val="18"/>
          <w:szCs w:val="18"/>
          <w:color w:val="auto"/>
        </w:rPr>
        <w:t xml:space="preserve"> From time to time, the Company may by notice to the Agent and the Lenders designate as additional Issuing Banks one or more Lenders that agree to serve in such capacity as provided below. The acceptance by a Lender of any appointment as an Issuing Bank hereunder shall be evidenced by an</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0"/>
          </w:cols>
          <w:pgMar w:left="880" w:top="270" w:right="459" w:bottom="1440" w:gutter="0" w:footer="0" w:header="0"/>
        </w:sectPr>
      </w:pPr>
    </w:p>
    <w:bookmarkStart w:id="59" w:name="page60"/>
    <w:bookmarkEnd w:id="59"/>
    <w:p>
      <w:pPr>
        <w:ind w:left="4" w:right="1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 “</w:t>
      </w:r>
      <w:r>
        <w:rPr>
          <w:rFonts w:ascii="Times New Roman" w:cs="Times New Roman" w:eastAsia="Times New Roman" w:hAnsi="Times New Roman"/>
          <w:sz w:val="17"/>
          <w:szCs w:val="17"/>
          <w:u w:val="single" w:color="auto"/>
          <w:color w:val="auto"/>
        </w:rPr>
        <w:t>Issuing Bank Agreement</w:t>
      </w:r>
      <w:r>
        <w:rPr>
          <w:rFonts w:ascii="Times New Roman" w:cs="Times New Roman" w:eastAsia="Times New Roman" w:hAnsi="Times New Roman"/>
          <w:sz w:val="17"/>
          <w:szCs w:val="17"/>
          <w:color w:val="auto"/>
        </w:rPr>
        <w:t>”), which shall be in a form satisfactory to the Company and the Agent, shall set forth the LC Commitment of such Lender and shall be executed by such Lender, the Company and the Agent and, from and after the effective date of such agreement, (i) such Lender shall have all the rights and obligations of an Issuing Bank under this Agreement and the other Loan Documents and</w:t>
      </w:r>
    </w:p>
    <w:p>
      <w:pPr>
        <w:spacing w:after="0" w:line="2" w:lineRule="exact"/>
        <w:rPr>
          <w:sz w:val="20"/>
          <w:szCs w:val="20"/>
          <w:color w:val="auto"/>
        </w:rPr>
      </w:pPr>
    </w:p>
    <w:p>
      <w:pPr>
        <w:ind w:left="4" w:right="200" w:hanging="4"/>
        <w:spacing w:after="0" w:line="253" w:lineRule="auto"/>
        <w:tabs>
          <w:tab w:leader="none" w:pos="2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and in the other Loan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80"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an Issuing Bank</w:t>
      </w:r>
      <w:r>
        <w:rPr>
          <w:rFonts w:ascii="Times New Roman" w:cs="Times New Roman" w:eastAsia="Times New Roman" w:hAnsi="Times New Roman"/>
          <w:sz w:val="18"/>
          <w:szCs w:val="18"/>
          <w:color w:val="auto"/>
        </w:rPr>
        <w:t>. An Issuing Bank may be replaced at any time by written agreement among the Company, the Agent, the replaced Issuing Bank and the successor Issuing Bank (it being understood that such successor Issuing Bank shall be designated and appointed as an Issuing Bank hereunder in accordance with paragraph (j) of this Section). The Agent shall notify the Lenders of any such replacement of an Issuing Bank. At the time any such replacement shall become effective, the Company shall pay all unpaid fees accrued for the account of the replaced Issuing Bank pursuant to Section 2.10(b). From and after the effective date of any such replacement, the successor Issuing Bank shall have all the rights and obligations of an Issuing Bank under this Agreement with respect to Letters of Credit to be issued thereafter and references herein to the term “Issuing Bank” shall be deemed to refer to such successor or to any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amend or extend any Letter of Credit or to issue additional Letters of Credit.</w:t>
      </w:r>
    </w:p>
    <w:p>
      <w:pPr>
        <w:spacing w:after="0" w:line="86" w:lineRule="exact"/>
        <w:rPr>
          <w:rFonts w:ascii="Times New Roman" w:cs="Times New Roman" w:eastAsia="Times New Roman" w:hAnsi="Times New Roman"/>
          <w:sz w:val="18"/>
          <w:szCs w:val="18"/>
          <w:color w:val="auto"/>
        </w:rPr>
      </w:pPr>
    </w:p>
    <w:p>
      <w:pPr>
        <w:ind w:left="4" w:firstLine="419"/>
        <w:spacing w:after="0" w:line="282" w:lineRule="auto"/>
        <w:tabs>
          <w:tab w:leader="none" w:pos="6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w:t>
      </w:r>
      <w:r>
        <w:rPr>
          <w:rFonts w:ascii="Times New Roman" w:cs="Times New Roman" w:eastAsia="Times New Roman" w:hAnsi="Times New Roman"/>
          <w:sz w:val="18"/>
          <w:szCs w:val="18"/>
          <w:color w:val="auto"/>
        </w:rPr>
        <w:t xml:space="preserve"> Each Issuing Bank shall report in writing to the Agent such information as the Agent shall reasonably request as to the Letters of Credit issued by such Issuing Bank.</w:t>
      </w:r>
    </w:p>
    <w:p>
      <w:pPr>
        <w:spacing w:after="0" w:line="5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19"/>
        <w:spacing w:after="0" w:line="258" w:lineRule="auto"/>
        <w:tabs>
          <w:tab w:leader="none" w:pos="6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 Letter of Credit at any time shall be deemed to be the amount of such Letter of Credit available to be drawn (without regard to any conditions to drawing)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Letter of Credit that, by its terms or the terms of any letter of credit application or other document related thereto, provides for one or more automatic increases in the available amount thereof shall, other than for purposes of Section 2.10, be deemed to be the maximum available amount of such Letter of Credit after giving effect to all such increases, whether or not such maximum available amount is in effect at such time.</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44"/>
          </w:cols>
          <w:pgMar w:left="876" w:top="270" w:right="479" w:bottom="1440" w:gutter="0" w:footer="0" w:header="0"/>
        </w:sectPr>
      </w:pPr>
    </w:p>
    <w:bookmarkStart w:id="60" w:name="page61"/>
    <w:bookmarkEnd w:id="60"/>
    <w:p>
      <w:pPr>
        <w:ind w:left="4" w:right="140" w:firstLine="419"/>
        <w:spacing w:after="0" w:line="255" w:lineRule="auto"/>
        <w:tabs>
          <w:tab w:leader="none" w:pos="69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each Borrower and each Lender hereunder shall remain in full force and effect until the Issuing Banks and the Lenders shall have no further obligations to make any payments or disbursements under any circumstances with respect to any Letter of Credit.</w:t>
      </w:r>
    </w:p>
    <w:p>
      <w:pPr>
        <w:spacing w:after="0" w:line="81" w:lineRule="exact"/>
        <w:rPr>
          <w:sz w:val="20"/>
          <w:szCs w:val="20"/>
          <w:color w:val="auto"/>
        </w:rPr>
      </w:pPr>
    </w:p>
    <w:p>
      <w:pPr>
        <w:ind w:left="4" w:right="60" w:firstLine="419"/>
        <w:spacing w:after="0" w:line="269" w:lineRule="auto"/>
        <w:tabs>
          <w:tab w:leader="none" w:pos="68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In the event that the Loans become immediately due and payable on any date pursuant to Article VI, all amounts (i) that the Borrowers are at the time or become thereafter required to reimburse or otherwise pay to the Agent in respect of LC Disbursements made under any Letter of Credit denominated in any currency other than US Dollars (other than amounts in respect of which any Borrower has deposited cash collateral, if such cash collateral was deposited in the applicable currency), (ii) that the Lenders are at the time or become thereafter required to pay to the Agent (and the Agent is at the time or becomes thereafter required to distribute to the applicable Issuing Bank) pursuant to paragraph</w:t>
      </w:r>
    </w:p>
    <w:p>
      <w:pPr>
        <w:spacing w:after="0" w:line="2" w:lineRule="exact"/>
        <w:rPr>
          <w:rFonts w:ascii="Times New Roman" w:cs="Times New Roman" w:eastAsia="Times New Roman" w:hAnsi="Times New Roman"/>
          <w:sz w:val="17"/>
          <w:szCs w:val="17"/>
          <w:color w:val="auto"/>
        </w:rPr>
      </w:pPr>
    </w:p>
    <w:p>
      <w:pPr>
        <w:ind w:left="4" w:right="160" w:hanging="4"/>
        <w:spacing w:after="0" w:line="252" w:lineRule="auto"/>
        <w:tabs>
          <w:tab w:leader="none" w:pos="2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in respect of unreimbursed LC Disbursements made under any Letter of Credit denominated in any currency other than US Dollars and (iii) of each Lender’s participation in any Letter of Credit denominated in any currency other than US Dollars under which an LC Disbursement has been made shall, automatically and with no further action required, be converted into the US Dollar Equivalent, calculated using the Exchange Rate on such date (or in the case of any LC Disbursement made after such date, on the date such LC Disbursement is made), of such amounts. On and after such conversion, all amounts accruing and owed to the Agent, any Issuing Bank or any Lender in respect of the obligations described in this paragraph shall accrue and be payable in US Dollars at the rates otherwise applicable hereunder.</w:t>
      </w:r>
    </w:p>
    <w:p>
      <w:pPr>
        <w:spacing w:after="0" w:line="81" w:lineRule="exact"/>
        <w:rPr>
          <w:rFonts w:ascii="Times New Roman" w:cs="Times New Roman" w:eastAsia="Times New Roman" w:hAnsi="Times New Roman"/>
          <w:sz w:val="18"/>
          <w:szCs w:val="18"/>
          <w:color w:val="auto"/>
        </w:rPr>
      </w:pPr>
    </w:p>
    <w:p>
      <w:pPr>
        <w:ind w:left="4" w:firstLine="419"/>
        <w:spacing w:after="0" w:line="268" w:lineRule="auto"/>
        <w:tabs>
          <w:tab w:leader="none" w:pos="68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Letters of Credit Issued for Account of Subsidiaries</w:t>
      </w:r>
      <w:r>
        <w:rPr>
          <w:rFonts w:ascii="Times New Roman" w:cs="Times New Roman" w:eastAsia="Times New Roman" w:hAnsi="Times New Roman"/>
          <w:sz w:val="17"/>
          <w:szCs w:val="17"/>
          <w:color w:val="auto"/>
        </w:rPr>
        <w:t>. Notwithstanding that a Letter of Credit issued or outstanding hereunder supports any obligations of, or is for the account of, a Subsidiary that is not a Borrower, or states that a Subsidiary that is not a Borrower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(or, in the case of any Letter of Credit in respect of which another Borrower is listed as the applicant, such Borrower) (i) shall reimburse, indemnify and compensate the applicable Issuing Bank hereunder for such Letter of Credit (including to reimburse any and all drawings thereunder) as if such Letter of Credit had been issued solely for the account of the Company (or such Borrower, as the case may be) and</w:t>
      </w:r>
    </w:p>
    <w:p>
      <w:pPr>
        <w:spacing w:after="0" w:line="2" w:lineRule="exact"/>
        <w:rPr>
          <w:rFonts w:ascii="Times New Roman" w:cs="Times New Roman" w:eastAsia="Times New Roman" w:hAnsi="Times New Roman"/>
          <w:sz w:val="17"/>
          <w:szCs w:val="17"/>
          <w:color w:val="auto"/>
        </w:rPr>
      </w:pPr>
    </w:p>
    <w:p>
      <w:pPr>
        <w:ind w:left="4" w:right="140" w:hanging="4"/>
        <w:spacing w:after="0" w:line="253" w:lineRule="auto"/>
        <w:tabs>
          <w:tab w:leader="none" w:pos="2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waives any and all defenses that might otherwise be available to it as a guarantor or surety of any or all of the obligations of such Subsidiary in respect of such Letter of Credit. Each Borrower hereby acknowledges that the issuance of such Letters of Credit for any of its Subsidiaries inures to the benefit of such Borrower, and that such Borrower’s business derives substantial benefits from the businesses of such Subsidiaries.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64"/>
          </w:cols>
          <w:pgMar w:left="876" w:top="270" w:right="459" w:bottom="1440" w:gutter="0" w:footer="0" w:header="0"/>
        </w:sectPr>
      </w:pPr>
    </w:p>
    <w:bookmarkStart w:id="61" w:name="page62"/>
    <w:bookmarkEnd w:id="61"/>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such Lender hereunder on the proposed date thereof by wire transfer of immediately available funds in the applicable currency by no later than 1:00 p.m., New York City time (or, in the case of an ABR Borrowing, by no later than the later of (x) 1:00 p.m., New York City time, and (y) two hours after the delivery by the applicable Borrower of the related Notice of Borrowing), to the account of the Agent most recently designated by the Agent for such purpose by notice to the Lenders. The Agent will make such Loan proceeds available to the applicable Borrower by promptly crediting the amounts so received, in like funds, to the Applicable Funding Account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Loans made to finance the reimbursement of an LC Disbursement as provided in Section 2.04(f) shall be remitted by the Agent to the applicable Issuing Bank.</w:t>
      </w:r>
    </w:p>
    <w:p>
      <w:pPr>
        <w:spacing w:after="0" w:line="81" w:lineRule="exact"/>
        <w:rPr>
          <w:sz w:val="20"/>
          <w:szCs w:val="20"/>
          <w:color w:val="auto"/>
        </w:rPr>
      </w:pPr>
    </w:p>
    <w:p>
      <w:pPr>
        <w:ind w:left="440" w:right="140" w:firstLine="419"/>
        <w:spacing w:after="0" w:line="268" w:lineRule="auto"/>
        <w:tabs>
          <w:tab w:leader="none" w:pos="111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Agent shall have received notice from a Lender prior to the proposed date of any Borrowing that such Lender will not make available to the Agent such Lender’s share of such Borrowing, the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Agent, then the applicable Lender and such Borrower severally agree to pay to the Agent forthwith on demand such corresponding amount with interest thereon, for each day from and including the date such amount is made available to such Borrower to but excluding the date of payment to the Agent, at</w:t>
      </w:r>
    </w:p>
    <w:p>
      <w:pPr>
        <w:spacing w:after="0" w:line="4" w:lineRule="exact"/>
        <w:rPr>
          <w:rFonts w:ascii="Times New Roman" w:cs="Times New Roman" w:eastAsia="Times New Roman" w:hAnsi="Times New Roman"/>
          <w:sz w:val="17"/>
          <w:szCs w:val="17"/>
          <w:color w:val="auto"/>
        </w:rPr>
      </w:pPr>
    </w:p>
    <w:p>
      <w:pPr>
        <w:ind w:left="440" w:right="180" w:hanging="4"/>
        <w:spacing w:after="0" w:line="25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payment to be made by such Lender, the Overnight Rate, or (ii) in the case of a payment to be made by such Borrower, the interest rate applicable to the subject Loan. If such Borrower and such Lender shall both pay such interest to the Agent for the same or an overlapping period, the Agent shall promptly remit to such Borrower the amount of such interest paid by such Borrower for such period. If such Lender pays such amount to the Agent, then such amount shall constitute such Lender’s Loan included in such Borrowing. Any payment by any Borrower shall be without prejudice to any claim such Borrower may have against a Lender that shall have failed to make such payment to the Agent.</w:t>
      </w:r>
    </w:p>
    <w:p>
      <w:pPr>
        <w:spacing w:after="0" w:line="19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xml:space="preserve"> (a) Each Borrowing initially shall be of the permitted Type specified in the applicable Notice of Borrowing and, in the case of a Term Benchmark Borrowing, shall have an initial Interest Period as specified in such Notice of Borrowing. Thereafter, the applicable Borrower (or the Company on its behalf) may elect to convert such Borrowing to a Borrowing of a different Type or, in the case of a Term Benchmark Borrowing, may elect Interest Periods therefor, all as provided in this Section and on terms consistent with the other provisions of this Agreement. A Borrower (or the Company on its behalf) may elect different options with respect to different portions of an affected Borrowing, in which case each such portion shall be allocated ratably among the Lenders holding the Loans comprising such Borrowing, and the Loans resulting from an election made with respect to any such portion shall be considered a separate Borrowing.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2" w:name="page63"/>
    <w:bookmarkEnd w:id="62"/>
    <w:p>
      <w:pPr>
        <w:ind w:left="440" w:right="40" w:firstLine="419"/>
        <w:spacing w:after="0" w:line="253"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make an election pursuant to this Section, the applicable Borrower or the Company on behalf of the applicable Borrowing Subsidiary shall deliver to the Agent a completed written Interest Election Request signed by a Financial Officer of such Borrower or the Company,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Interest Election Request is submitted through an Approved Borrower Portal, the foregoing signature requirement may be waived at the sole discretion of the Agent), by the time and date that a Notice of Borrowing would be required under Section 2.03 if such Borrower were requesting a Borrowing of the Type and in the currency resulting from such election to be made on the effective date of such election. Each Interest Election Request shall be irrevocable. Notwithstanding any other provision of this Section, a Borrower shall not be permitted to (i) change the currency of any Borrowing, (ii) elect an Interest Period that does not comply with</w:t>
      </w:r>
    </w:p>
    <w:p>
      <w:pPr>
        <w:spacing w:after="0" w:line="2" w:lineRule="exact"/>
        <w:rPr>
          <w:rFonts w:ascii="Times New Roman" w:cs="Times New Roman" w:eastAsia="Times New Roman" w:hAnsi="Times New Roman"/>
          <w:sz w:val="18"/>
          <w:szCs w:val="18"/>
          <w:color w:val="auto"/>
        </w:rPr>
      </w:pPr>
    </w:p>
    <w:p>
      <w:pPr>
        <w:ind w:left="44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2.02(d) or (iii) convert any Borrowing to a Borrowing not available to such Borrower under the Class of Commitments pursuant to which such Borrowing was made.</w:t>
      </w:r>
    </w:p>
    <w:p>
      <w:pPr>
        <w:spacing w:after="0" w:line="7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Election Request shall specify the following information in compliance with Section 2.02:</w:t>
      </w:r>
    </w:p>
    <w:p>
      <w:pPr>
        <w:spacing w:after="0" w:line="117" w:lineRule="exact"/>
        <w:rPr>
          <w:sz w:val="20"/>
          <w:szCs w:val="20"/>
          <w:color w:val="auto"/>
        </w:rPr>
      </w:pPr>
    </w:p>
    <w:p>
      <w:pPr>
        <w:jc w:val="both"/>
        <w:ind w:left="440" w:firstLine="419"/>
        <w:spacing w:after="0" w:line="276" w:lineRule="auto"/>
        <w:tabs>
          <w:tab w:leader="none" w:pos="107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740" w:hanging="304"/>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be specified for each resulting Borrowing);</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Type of the resulting Borrowing;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to be a Term Benchmark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54" w:lineRule="exact"/>
        <w:rPr>
          <w:sz w:val="20"/>
          <w:szCs w:val="20"/>
          <w:color w:val="auto"/>
        </w:rPr>
      </w:pPr>
    </w:p>
    <w:p>
      <w:pPr>
        <w:ind w:left="440" w:right="20" w:firstLine="419"/>
        <w:spacing w:after="0" w:line="282"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Agent shall advise each affected Lender of the details thereof and of such Lender’s portion of each resulting Borrowing.</w:t>
      </w:r>
    </w:p>
    <w:p>
      <w:pPr>
        <w:spacing w:after="0" w:line="53" w:lineRule="exact"/>
        <w:rPr>
          <w:rFonts w:ascii="Times New Roman" w:cs="Times New Roman" w:eastAsia="Times New Roman" w:hAnsi="Times New Roman"/>
          <w:sz w:val="18"/>
          <w:szCs w:val="18"/>
          <w:color w:val="auto"/>
        </w:rPr>
      </w:pPr>
    </w:p>
    <w:p>
      <w:pPr>
        <w:jc w:val="both"/>
        <w:ind w:left="440" w:right="160" w:firstLine="419"/>
        <w:spacing w:after="0" w:line="266" w:lineRule="auto"/>
        <w:tabs>
          <w:tab w:leader="none" w:pos="11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Borrower fails to deliver a timely Interest Election Request with respect to a Term Benchmark Borrowing prior to the end of the Interest Period applicable thereto, then, unless such Borrowing is prepaid as provided herein and subject to Section 2.12, at the end of such Interest Period such Borrowing shall be continued as a Borrowing of the same Type with an Interest Period of one month’s duration.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3" w:name="page64"/>
    <w:bookmarkEnd w:id="63"/>
    <w:p>
      <w:pPr>
        <w:ind w:left="440" w:right="240" w:firstLine="419"/>
        <w:spacing w:after="0" w:line="266" w:lineRule="auto"/>
        <w:tabs>
          <w:tab w:leader="none" w:pos="10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contrary provision hereof, if an Event of Default has occurred and is continuing and, other than in the case of an Event of Default under Section 6.01(g) or 6.01(h), the Agent, at the request of the Required Lenders, notifies the Company of the application of this paragraph, no outstanding Borrowing denominated in US Dollars may be converted to or continued as a Term SOFR Borrowing.</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Termination and Reduction and Increase in Commitments.</w:t>
      </w:r>
      <w:r>
        <w:rPr>
          <w:rFonts w:ascii="Times New Roman" w:cs="Times New Roman" w:eastAsia="Times New Roman" w:hAnsi="Times New Roman"/>
          <w:sz w:val="18"/>
          <w:szCs w:val="18"/>
          <w:color w:val="auto"/>
        </w:rPr>
        <w:t xml:space="preserve"> (a) Unless previously terminated, the Commitments shall terminate on the Maturity Date.</w:t>
      </w:r>
    </w:p>
    <w:p>
      <w:pPr>
        <w:spacing w:after="0" w:line="54" w:lineRule="exact"/>
        <w:rPr>
          <w:sz w:val="20"/>
          <w:szCs w:val="20"/>
          <w:color w:val="auto"/>
        </w:rPr>
      </w:pPr>
    </w:p>
    <w:p>
      <w:pPr>
        <w:ind w:left="440" w:firstLine="419"/>
        <w:spacing w:after="0" w:line="270" w:lineRule="auto"/>
        <w:tabs>
          <w:tab w:leader="none" w:pos="1118"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may at any time terminate, or from time to time reduce, the Commitments (ratably as between the Tranches);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each reduction of the Commitments shall be in an amount that is an integral multiple of the Borrowing Multiple and not less than the Borrowing Minimum, in each case for Borrowings denominated in US Dollars and (ii) the Company shall not terminate or reduce the Commitments if, after giving effect to such termination or reduction and to any concurrent payment or prepayment of Loans or LC Disbursements,</w:t>
      </w:r>
    </w:p>
    <w:p>
      <w:pPr>
        <w:spacing w:after="0" w:line="2" w:lineRule="exact"/>
        <w:rPr>
          <w:rFonts w:ascii="Times New Roman" w:cs="Times New Roman" w:eastAsia="Times New Roman" w:hAnsi="Times New Roman"/>
          <w:sz w:val="17"/>
          <w:szCs w:val="17"/>
          <w:color w:val="auto"/>
        </w:rPr>
      </w:pPr>
    </w:p>
    <w:p>
      <w:pPr>
        <w:ind w:left="440" w:right="200" w:hanging="4"/>
        <w:spacing w:after="0" w:line="260" w:lineRule="auto"/>
        <w:tabs>
          <w:tab w:leader="none" w:pos="7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One Credit Exposure of any Lender would exceed the Tranche One Commitment of such Lender or (B) the Tranche Two Credit Exposure of any Lender would exceed the Tranche Two Commitment of such Lender.</w:t>
      </w:r>
    </w:p>
    <w:p>
      <w:pPr>
        <w:spacing w:after="0" w:line="73" w:lineRule="exact"/>
        <w:rPr>
          <w:rFonts w:ascii="Times New Roman" w:cs="Times New Roman" w:eastAsia="Times New Roman" w:hAnsi="Times New Roman"/>
          <w:sz w:val="18"/>
          <w:szCs w:val="18"/>
          <w:color w:val="auto"/>
        </w:rPr>
      </w:pPr>
    </w:p>
    <w:p>
      <w:pPr>
        <w:ind w:left="440" w:right="140" w:firstLine="419"/>
        <w:spacing w:after="0" w:line="254" w:lineRule="auto"/>
        <w:tabs>
          <w:tab w:leader="none" w:pos="110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notify the Agent in writing of any election to terminate or reduce the Commitments under paragraph (b) of this Section at least two Business Days prior to the effective date of such termination or reduction, specifying such election and the effective date thereof. Promptly following receipt of any such notice, the Agent shall advise the Lenders of the contents thereof. Each notice delivered by the Company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may state that such notice is conditioned upon the occurrence of one or more events specified therein, in which case such notice may be revoked or extended by the Company (by notice to the Agent on or prior to the specified effective date) if such condition is not satisfied. Any termination or reduction of the Commitments shall be permanent. Each reduction of the Commitments under a Tranche shall be made ratably among the applicable Lenders in accordance with their Commitments under such Tranche.</w:t>
      </w:r>
    </w:p>
    <w:p>
      <w:pPr>
        <w:spacing w:after="0" w:line="83"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and from time to time, by written agreement executed by the Company and one or more financial institutions (any such financial institution referred to in this Section being called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which may include any Lender, and delivered to the Agent (which shall promptly deliver a copy to the applicable Lenders) cause new Tranche One Commitments or Tranche Two Commitments to be extended by the Increasing Lenders (or cause the existing Tranche One Commitments or Tranche Two Commitments of the Increasing Lenders to be increased, as the case may be) in an amount for each Increasing Lender set forth in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new Commitments and increases in existing Commitments under this paragraph shall not result in the aggregate amount of the Commitments exceeding US$2,250,000,000, and each increase shall be in an aggregate amount not be less than US$10,000,000 and an integral multiple of US$1,000,000, (ii) each Increasing Lender, if not already a Lender hereunder, shall be subject to the approval of the Agent and each Issuing Bank (in each case, which approval shall not be unreasonably withheld, delayed or conditioned) and (iii) each Increasing Lender, if not already a Lender hereunder, shall become a party to this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4" w:name="page65"/>
    <w:bookmarkEnd w:id="64"/>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by completing and delivering to the Agent a duly executed accession agreement in the form of Exhibit C hereto or any other form satisfactory to the Agent and the Company (an “</w:t>
      </w:r>
      <w:r>
        <w:rPr>
          <w:rFonts w:ascii="Times New Roman" w:cs="Times New Roman" w:eastAsia="Times New Roman" w:hAnsi="Times New Roman"/>
          <w:sz w:val="18"/>
          <w:szCs w:val="18"/>
          <w:u w:val="single" w:color="auto"/>
          <w:color w:val="auto"/>
        </w:rPr>
        <w:t>Accession Agreement</w:t>
      </w:r>
      <w:r>
        <w:rPr>
          <w:rFonts w:ascii="Times New Roman" w:cs="Times New Roman" w:eastAsia="Times New Roman" w:hAnsi="Times New Roman"/>
          <w:sz w:val="18"/>
          <w:szCs w:val="18"/>
          <w:color w:val="auto"/>
        </w:rPr>
        <w:t>”). New Commitments and increases in Commitments shall become effective on the date specified in the applicable agreement delivered pursuant to this paragraph. Upon the effectiveness of any Accession Agreement to which any Increasing Lender is a party, such Increasing Lender shall thereafter be deemed to be a party to this Agreement and shall be entitled to all rights, benefits and privileges accorded a Lender hereunder and subject to all obligations of a Lender hereunder. Notwithstanding the foregoing, no increase in the Commitments (or in the Commitment of any Lender) shall become effective under this paragraph unless, on the date of such increase, the Agent shall have received a certificate, dated as of the effective date of such increase and executed by a Financial Officer of the Company, to the effect that the conditions set forth in Section 4.02(b) and 4.02(c) shall be satisfied (with all references in such Sections to a Borrowing being deemed to be references to such increase and without giving effect to the parenthetical in Section 4.02(c)). Following any extension of a new Commitment or increase of a Lender’s Commitment pursuant to this Section 2.07, any Loans of the applicable Tranche outstanding prior to the effectiveness of such extension or increase shall remain outstanding until the ends of the respective Interest Periods applicable thereto, and shall then be repaid or refinanced with new Loans made pursuant to Section 2.01 ratably in accordance with the respective Commitments of the Lenders under such Tranche. Any decision by a Lender to become an Increasing Lender under this paragraph shall be in its sole and absolute discretion, and a Lender that does not execute the agreement referred to in the first sentence of this paragraph shall not be an Increasing Lender.</w:t>
      </w:r>
    </w:p>
    <w:p>
      <w:pPr>
        <w:spacing w:after="0" w:line="88" w:lineRule="exact"/>
        <w:rPr>
          <w:sz w:val="20"/>
          <w:szCs w:val="20"/>
          <w:color w:val="auto"/>
        </w:rPr>
      </w:pPr>
    </w:p>
    <w:p>
      <w:pPr>
        <w:ind w:left="440" w:right="80" w:firstLine="419"/>
        <w:spacing w:after="0" w:line="254" w:lineRule="auto"/>
        <w:tabs>
          <w:tab w:leader="none" w:pos="11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Tranche Two Lender may at any time and from time to time, upon five Business Days’ written notice to the Agent (which shall promptly deliver a copy of such notice to each other Lender) and the Company, and with the consent of the Company, cause the entire amount of such Lender’s Tranche Two Commitment to be redesignated as a Tranche One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at the time of any such redesignation, to the extent there are any outstanding Loans, the parties hereto shall implement arrangements satisfactory to the Company and the Agent to ensure that the Lenders of each Tranche will, after giving effect to such redesignation (or by such later time as the Agent may agree), hold the Loans comprising each Borrowing under such Tranche ratably in accordance with their respective Commitments and (ii) such redesignation will not result in the aggregate Tranche One Credit Exposure exceeding the aggregate Tranche One Commitments or the aggregate Tranche Two Credit Exposure exceeding the aggregate Tranche Two Commitments.</w:t>
      </w:r>
    </w:p>
    <w:p>
      <w:pPr>
        <w:spacing w:after="0" w:line="192" w:lineRule="exact"/>
        <w:rPr>
          <w:sz w:val="20"/>
          <w:szCs w:val="20"/>
          <w:color w:val="auto"/>
        </w:rPr>
      </w:pPr>
    </w:p>
    <w:p>
      <w:pPr>
        <w:jc w:val="both"/>
        <w:ind w:right="1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2.08. </w:t>
      </w:r>
      <w:r>
        <w:rPr>
          <w:rFonts w:ascii="Times New Roman" w:cs="Times New Roman" w:eastAsia="Times New Roman" w:hAnsi="Times New Roman"/>
          <w:sz w:val="17"/>
          <w:szCs w:val="17"/>
          <w:u w:val="single" w:color="auto"/>
          <w:color w:val="auto"/>
        </w:rPr>
        <w:t>Repayment of Loans; Evidence of Debt.</w:t>
      </w:r>
      <w:r>
        <w:rPr>
          <w:rFonts w:ascii="Times New Roman" w:cs="Times New Roman" w:eastAsia="Times New Roman" w:hAnsi="Times New Roman"/>
          <w:sz w:val="17"/>
          <w:szCs w:val="17"/>
          <w:color w:val="auto"/>
        </w:rPr>
        <w:t xml:space="preserve"> (a) Each Borrower hereby unconditionally promises to pay to the Agent for the account of each applicable Lender the then unpaid principal amount of each Loan of such Borrower on the Maturity Date in the currency of such Loan.</w:t>
      </w:r>
    </w:p>
    <w:p>
      <w:pPr>
        <w:spacing w:after="0" w:line="32" w:lineRule="exact"/>
        <w:rPr>
          <w:sz w:val="20"/>
          <w:szCs w:val="20"/>
          <w:color w:val="auto"/>
        </w:rPr>
      </w:pPr>
    </w:p>
    <w:p>
      <w:pPr>
        <w:ind w:left="440" w:firstLine="419"/>
        <w:spacing w:after="0" w:line="266"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Debt of each Borrower to such Lender resulting from each Loan made by such Lender, including the amounts of principal and interest payable and paid to such Lender from time to time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5" w:name="page66"/>
    <w:bookmarkEnd w:id="65"/>
    <w:p>
      <w:pPr>
        <w:jc w:val="both"/>
        <w:ind w:left="440" w:firstLine="419"/>
        <w:spacing w:after="0" w:line="261"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shall maintain accounts in which it shall record (i) the currency and amount of each Loan made hereunder, the Class and Type of each such Loan and, in the case of any Term Benchmark Loan, the Interest Period applicable thereto, (ii) the amount of any principal or interest due and payable or to become due and payable from each Borrower to each Lender hereunder and (iii) the amount of any sum received by the Agent hereunder for the account of the Lenders or any of them and each Lender’s share thereof.</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9" w:lineRule="auto"/>
        <w:tabs>
          <w:tab w:leader="none" w:pos="111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entries made in the accounts maintained pursuant to paragraph (b) or (c) of this Section shall be prima facie evidence of the existence and amounts of the obligations recorded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of any Lender or the Agent to maintain such accounts or any error therein shall not in any manner affect the obligation of any Borrower to repay the Loans in accordance with the terms of this Agreement.</w:t>
      </w:r>
    </w:p>
    <w:p>
      <w:pPr>
        <w:spacing w:after="0" w:line="49" w:lineRule="exact"/>
        <w:rPr>
          <w:rFonts w:ascii="Times New Roman" w:cs="Times New Roman" w:eastAsia="Times New Roman" w:hAnsi="Times New Roman"/>
          <w:sz w:val="17"/>
          <w:szCs w:val="17"/>
          <w:color w:val="auto"/>
        </w:rPr>
      </w:pPr>
    </w:p>
    <w:p>
      <w:pPr>
        <w:ind w:left="440" w:right="340" w:firstLine="419"/>
        <w:spacing w:after="0" w:line="261"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of any Class made by it to any Borrower be evidenced by a promissory note. In such event, the applicable Borrower shall prepare, execute and deliver to such Lender a promissory note payable to such Lender and in the form of Exhibit D hereto. Thereafter, the Loans evidenced by such promissory note and interest thereon shall at all times (including after assignment pursuant to Section 9.05) be represented by one or more promissory notes in such form payable to the payee named therein.</w:t>
      </w:r>
    </w:p>
    <w:p>
      <w:pPr>
        <w:spacing w:after="0" w:line="18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xml:space="preserve"> (a) Any Borrower shall have the right at any time and from time to time to prepay any Borrowing of such Borrower, in whole or in part, subject to prior notice in accordance with paragraph (d) of this Section.</w:t>
      </w:r>
    </w:p>
    <w:p>
      <w:pPr>
        <w:spacing w:after="0" w:line="54" w:lineRule="exact"/>
        <w:rPr>
          <w:sz w:val="20"/>
          <w:szCs w:val="20"/>
          <w:color w:val="auto"/>
        </w:rPr>
      </w:pPr>
    </w:p>
    <w:p>
      <w:pPr>
        <w:ind w:left="440" w:right="60" w:firstLine="419"/>
        <w:spacing w:after="0" w:line="266"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Credit Exposures under any Tranche shall at any time exceed 105% of the aggregate Commitments under such Tranche, then the applicable Borrowers shall, not later than three Business Days thereafter, prepay one or more Borrowings under such Tranche in an aggregate principal amount sufficient to eliminate such excess.</w:t>
      </w:r>
    </w:p>
    <w:p>
      <w:pPr>
        <w:spacing w:after="0" w:line="6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shall notify the Agent of any prepayment of a Borrowing hereunder by delivery of a written notice signed by a Financial Officer on behalf of the applicable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is delivered through an Approved Borrower Portal, then the foregoing signature requirements may be waived by the Agent in its sole discretion) not later than (i) in the case of a Term SOFR Borrowing, 12:00 noon, New York City time, three U.S. Government Securities Business Days prior to the date 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6" w:name="page67"/>
    <w:bookmarkEnd w:id="66"/>
    <w:p>
      <w:pPr>
        <w:ind w:left="4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prepayment, (ii) in the case of a EURIBOR Borrowing, a Term CORRA Borrowing or a STIBOR Borrowing, 12:00 noon, New York City time, three Business Days prior to the date of such prepayment, (iii) in the case of an RFR Borrowing, 12:00 noon, New York City time, five RFR Business Days prior to the date of such prepayment and (iv) in the case of an ABR Borrowing, 11:00 a.m., New York City time, on the date of such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of any Borrowing may state that such notice is conditioned upon the occurrence of one or more events specified therein, in which case such notice may be revoked by the Company (by notice to the Agent on or prior to the specified date of prepayment) if such condition is not satisfied. Promptly following receipt of any such notice, the Agent shall advise the applicable Lenders of the contents thereof. Each partial prepayment of any Borrowing shall be in an amount that would be permitted in the case of an advance of a Borrowing of the same Type and in the same currency as provided in Section 2.02. Each prepayment of a Borrowing shall be applied ratably to the Loans included in the prepaid Borrowing.</w:t>
      </w:r>
    </w:p>
    <w:p>
      <w:pPr>
        <w:spacing w:after="0" w:line="194"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The Company agrees to pay to the Agent, in US Dollars for the account of each Lender, a facility fee, which shall accrue at the Applicable Rate on the daily amount of each Commitment of such Lender, whether used or unused, during the period from and including the Effective Date to but excluding the date on which such Commitment terminates;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continues to have any Credit Exposure under any Tranche after its Commitment under such Tranche terminates, then such facility fee shall continue to accrue on the daily amount of such Lender’s Credit Exposure under such Tranche from and including the date on which such Commitment terminates to but excluding the date on which such Lender ceases to have any Credit Exposure under such Tranche. Facility fees accrued through and including the last day of March, June, September and December of each year shall be payable in arrears on the fifteenth day after such last day, commencing on the first such date to occur after the Effective Date and, with respect to the Commitments of any Tranche, on the date on which the Commitments of such Tranche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facility fees accruing on the Credit Exposure under any Tranche after the date on which the Commitments under such Tranche terminate shall be payable on demand. All facility fees shall be computed on the basis of a year of 360 days and shall be payable for the actual number of days elapsed (including the first day but excluding the last day).</w:t>
      </w:r>
    </w:p>
    <w:p>
      <w:pPr>
        <w:spacing w:after="0" w:line="84" w:lineRule="exact"/>
        <w:rPr>
          <w:sz w:val="20"/>
          <w:szCs w:val="20"/>
          <w:color w:val="auto"/>
        </w:rPr>
      </w:pPr>
    </w:p>
    <w:p>
      <w:pPr>
        <w:ind w:left="440" w:firstLine="419"/>
        <w:spacing w:after="0" w:line="255" w:lineRule="auto"/>
        <w:tabs>
          <w:tab w:leader="none" w:pos="11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(i) to the Agent, in US Dollars for the account of each Tranche One Lender or each Tranche Two Lender, a participation fee with respect to its participations in Tranche One Letters of Credit or Tranche Two Letters of Credit, as applicable, which shall accrue at the Applicable Rate used to determine the interest rate applicable to Term SOFR Loans, on the daily amount of such Lender’s LC Exposure (excluding any portion thereof attributable to unreimbursed LC Disbursements) during the period from and including the Effective Date to but excluding the later of the date on which such Lender’s applicable Commitment terminates and the date on which such Lender ceases to have any LC Exposure and (ii) to each Issuing Bank a fronting fee, which shall accrue at a rate per annum separately agreed upon between the Company and the applicable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7" w:name="page68"/>
    <w:bookmarkEnd w:id="67"/>
    <w:p>
      <w:pPr>
        <w:ind w:left="44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Issuing Bank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such LC Exposure, as well as each Issuing Bank’s standard fees with respect to the issuance, amendment or extension of any Letter of Credit or processing of drawings thereunder. Participation fees and fronting fees accrued or becoming payable in respect of Letters of Credit through and including the last day of March, June, September and December of each year shall be payable on the fifteenth day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Commitments terminate and any such fees accruing after the date on which the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86" w:lineRule="exact"/>
        <w:rPr>
          <w:sz w:val="20"/>
          <w:szCs w:val="20"/>
          <w:color w:val="auto"/>
        </w:rPr>
      </w:pPr>
    </w:p>
    <w:p>
      <w:pPr>
        <w:ind w:left="440" w:right="520" w:firstLine="419"/>
        <w:spacing w:after="0" w:line="282" w:lineRule="auto"/>
        <w:tabs>
          <w:tab w:leader="none" w:pos="11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Agent and to the Arrangers, for their own account, fees payable in the amounts and at the times separately agreed upon between the Company, the Agent and the Arrangers.</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Agent or to the Issuing Banks (in the case of fees payable to them) for distribution (i) in the case of facility fees, to the Lenders and (ii) in the case of the participation fees, to the Tranche One Lenders or Tranche Two Lenders, as applicable. Fees paid shall not be refundable under any circumstances.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(a) The Loans comprising each ABR Borrowing shall bear interest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99" w:lineRule="exact"/>
        <w:rPr>
          <w:sz w:val="20"/>
          <w:szCs w:val="20"/>
          <w:color w:val="auto"/>
        </w:rPr>
      </w:pPr>
    </w:p>
    <w:p>
      <w:pPr>
        <w:ind w:left="440" w:right="600" w:firstLine="419"/>
        <w:spacing w:after="0" w:line="282"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SOFR Borrowing shall bear interest at the 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5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EURIBOR Borrowing shall bear interest at the EURIBO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CORRA Borrowing shall bear interest at the Adjusted Term CORRA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STIBOR Borrowing shall bear interest at the STIBO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RFR Borrowing shall bear interest at the applicable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8" w:name="page69"/>
    <w:bookmarkEnd w:id="68"/>
    <w:p>
      <w:pPr>
        <w:ind w:left="4" w:firstLine="419"/>
        <w:spacing w:after="0" w:line="256" w:lineRule="auto"/>
        <w:tabs>
          <w:tab w:leader="none" w:pos="6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if any principal of or interest on any Loan or LC Disbursement, any fee or other amount payable by any Borrower hereunder is not paid when due, whether at stated maturity, upon acceleration or otherwise, such overdue amount shall bear interest, after as well as before judgment, at a rate per annum equal to (i) in the case of overdue principal of or interest on any Loan or LC Disbursement, 2% per annum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interest rate otherwise applicable to such Loan or LC Disbursement as provided in the preceding paragraphs of this Section or in Section 2.04 or (ii) in the case of any other amount, 2% per annum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ABR Loans as provided in paragraph (a) of this Section.</w:t>
      </w:r>
    </w:p>
    <w:p>
      <w:pPr>
        <w:spacing w:after="0" w:line="79" w:lineRule="exact"/>
        <w:rPr>
          <w:rFonts w:ascii="Times New Roman" w:cs="Times New Roman" w:eastAsia="Times New Roman" w:hAnsi="Times New Roman"/>
          <w:sz w:val="18"/>
          <w:szCs w:val="18"/>
          <w:color w:val="auto"/>
        </w:rPr>
      </w:pPr>
    </w:p>
    <w:p>
      <w:pPr>
        <w:ind w:left="4" w:right="80" w:firstLine="419"/>
        <w:spacing w:after="0" w:line="270" w:lineRule="auto"/>
        <w:tabs>
          <w:tab w:leader="none" w:pos="68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Accrued interest on each Loan under any Tranche shall be payable in arrears on each Interest Payment Date for such Loan and upon the termination of the Commitments of such Tranche;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interest accrued pursuant to paragraph (g)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conversion of any Term Benchmark Loan prior to the end of the current Interest Period therefor, accrued interest on such Loan shall be payable on the effective date of such conversion. All interest shall be payable in the currency in which the applicable Loan is denominated.</w:t>
      </w:r>
    </w:p>
    <w:p>
      <w:pPr>
        <w:spacing w:after="0" w:line="7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 interest computed by reference to the Alternate Base Rate at times when the Alternate Base Rate is based on the Prime Rate and (ii) interest on Term Benchmark Loans denominated in Canadian Dollars or Swedish Kronor and interest on RFR Loans denominated in Sterling or, if applicable pursuant to Section 2.12, Canadian Dollars shall each be computed on the basis of a year of 365 days (or, in the case of ABR Borrowings, 366 days in a leap year), and in each case shall be payable for the actual number of days elapsed (including the first day but excluding the last day). The applicable Term SOFR, EURIBO Rate, Adjusted Term CORRA, Term CORRA, STIBO Rate, Foreign Currency Overnight Rate, Alternate Base Rate, Daily Simple SONIA or, if applicable pursuant to Section 2.12, Daily Simple SOFR or Adjusted Daily Simple CORRA shall be determined by the Agent and such determination shall be conclusive absent manifest error.</w:t>
      </w:r>
    </w:p>
    <w:p>
      <w:pPr>
        <w:spacing w:after="0" w:line="19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xml:space="preserve"> (a) Subject to Section 2.12(b), if:</w:t>
      </w:r>
    </w:p>
    <w:p>
      <w:pPr>
        <w:spacing w:after="0" w:line="117" w:lineRule="exact"/>
        <w:rPr>
          <w:sz w:val="20"/>
          <w:szCs w:val="20"/>
          <w:color w:val="auto"/>
        </w:rPr>
      </w:pPr>
    </w:p>
    <w:p>
      <w:pPr>
        <w:ind w:left="4" w:right="60" w:firstLine="419"/>
        <w:spacing w:after="0" w:line="258" w:lineRule="auto"/>
        <w:tabs>
          <w:tab w:leader="none" w:pos="6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determines (which determination shall be conclusive absent manifest error) (A) prior to the commencement of any Interest Period for a Term Benchmark Borrowing, that adequate and reasonable means do not exist for ascertaining the Term SOFR, the EURIBO Rate, the Adjusted Term CORRA or the STIBO Rate, as the case may be (including because the Relevant Screen Rate is not available or published on a current basis), for such Interest Period or (B) at any time, that adequate and reasonable means do not exist for ascertaining the applicable Daily Simple RFR with respect to any RFR Borrowing; or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564"/>
          </w:cols>
          <w:pgMar w:left="876" w:top="270" w:right="459" w:bottom="1440" w:gutter="0" w:footer="0" w:header="0"/>
        </w:sectPr>
      </w:pPr>
    </w:p>
    <w:bookmarkStart w:id="69" w:name="page70"/>
    <w:bookmarkEnd w:id="69"/>
    <w:p>
      <w:pPr>
        <w:ind w:left="440" w:right="20" w:firstLine="419"/>
        <w:spacing w:after="0" w:line="258" w:lineRule="auto"/>
        <w:tabs>
          <w:tab w:leader="none" w:pos="11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is advised by the Required Lenders (A) prior to the commencement of any Interest Period for a Term Benchmark Borrowing, that the Term SOFR, the EURIBO Rate, the Adjusted Term CORRA or the STIBO Rate, as the case may be, for such Interest Period will not adequately and fairly reflect the cost to such Lenders of making or maintaining their Loans included in such Term Benchmark Borrowing for such Interest Period or (B) at any time, that the applicable Daily Simple RFR will not adequately and fairly reflect the cost to such Lenders of making or maintaining their Loans included in any RFR Borrowing;</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then the Agent shall give notice thereof (which may be by telephone) to the Company and the applicable Lenders as promptly as practicable thereafter and, until (x) the Agent notifies the Company and the Lenders that the circumstances giving rise to such notice no longer exist with respect to the relevant Benchmark and (y) the applicable Borrower (or the Company on its behalf) delivers a new Interest Election Request in accordance with the terms of Section 2.06 or a new Notice of Borrowing in accordance with the terms of Section 2.03, (A) in the case of Loans denominated in US Dollars, any Interest Election Request that requests the conversion of any Borrowing to, or continuation of any Borrowing as, an affected Term Benchmark Borrowing and any Notice of Borrowing that requests an affected Term Benchmark Borrowing shall instead be deemed to be an Interest Election Request or a Notice of Borrowing, as applicable, for (1) an RFR Borrowing denominated in US Dollars so long as the Daily Simple SOFR is not also the subject of Section 2.12(a)(i) or 2.12(a)(ii) or (2) an ABR Borrowing if the Daily Simple SOFR also is the subject of Section 2.12(a)(i) or 2.12(a)(ii) and (B) in the case of Loans denominated in a Designated Foreign Currency, any Interest Election Request that requests the conversion of any Borrowing to, or continuation of any Borrowing as, an affected Term Benchmark Borrowing and any Notice of Borrowing that requests an affected Term Benchmark Borrowing or an affected RFR Borrowing, in each case, for the relevant Benchmark, shall be ineffective; provided that if the circumstances giving rise to such notice affect only one Type of Borrowing, then all other Types of Borrowings shall be permitted. Furthermore, if any Term Benchmark Loan or RFR Loan in any Agreed Currency is outstanding on the date of the Company’s receipt of the notice from the Agent referred to in this Section 2.12(a) with respect to a Relevant Rate applicable to such Term Benchmark Loan or RFR Loan, then until (x) the Agent notifies the Company and the Lenders that the circumstances giving rise to such notice no longer exist with respect to the relevant Benchmark and (y) the applicable Borrower (or the Company on its behalf) delivers a new Interest Election Request in accordance with the terms of Section 2.06 or a new Notice of Borrowing in accordance with the terms of Section 2.03, (A) in the case of Loans denominated in US Dollars, (1) any affected Term Benchmark Loan shall, on the last day of the Interest Period applicable to such Loan, convert to, and shall constitute, (x) an RFR Borrowing denominated in US Dollars so long as the Daily Simple SOFR is not also the subject of Section 2.12(a)(i) or 2.12(a)(ii) or (y) an ABR Loan if the Daily Simple SOFR also is the subject of Section 2.12(a)(i) or 2.12(a)(ii) on such day and (2) any affected RFR Loan shall on and from such day convert to, and shall constitute, an ABR Loan and (B) in the case of Loans denominated in a Designated Foreign Currency, (1) any affected Term Benchmark Loan shall, on the last day of the Interest Period applicable to such Loan, convert to, and shall constitute, a CBR Loan that bears interest at the Central Bank Rate for the applicable Designated Foreign Currency (or, in the case of a Loan denominated in Canadian Dollars, the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Agent determines (which</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70" w:name="page71"/>
    <w:bookmarkEnd w:id="70"/>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determination shall be conclusive and binding absent manifest error) that the Central Bank Rate for the applicable Designated Foreign Currency (or, in the case of a Loan denominated in Canadian Dollars, the Canadian Prime Rate) cannot be determined, any such affected Term Benchmark Loans shall be prepaid in full by the applicable Borrower on the day that the Company receives notice thereof from the Agent, and (2) any affected RFR Loan shall convert to, and shall constitute, a CBR Loan that bears interest at the Central Bank Rate for the applicable Designated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Agent determines (which determination shall be conclusive and binding absent manifest error) that the Central Bank Rate for the applicable Designated Foreign Currency cannot be determined, any such affected RFR Loan shall be prepaid in full by the applicable Borrower on the day that the Company receives notice thereof from the Agent. Interest on any CBR Loan shall be payable, and principal of any CBR Loan shall be payable or prepayable, in each case, as would be applicable to the Loan that was converted into such CBR Loan.</w:t>
      </w:r>
    </w:p>
    <w:p>
      <w:pPr>
        <w:spacing w:after="0" w:line="84" w:lineRule="exact"/>
        <w:rPr>
          <w:sz w:val="20"/>
          <w:szCs w:val="20"/>
          <w:color w:val="auto"/>
        </w:rPr>
      </w:pPr>
    </w:p>
    <w:p>
      <w:pPr>
        <w:ind w:left="440" w:firstLine="419"/>
        <w:spacing w:after="0" w:line="253"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US Dollars or Canadian Dollars for such Benchmark Replacement Date, such Benchmark Replacement will replace such Benchmark (including any related adjustment)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 for all purposes hereunder and under any other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w:t>
      </w:r>
    </w:p>
    <w:p>
      <w:pPr>
        <w:spacing w:after="0" w:line="82" w:lineRule="exact"/>
        <w:rPr>
          <w:sz w:val="20"/>
          <w:szCs w:val="20"/>
          <w:color w:val="auto"/>
        </w:rPr>
      </w:pPr>
    </w:p>
    <w:p>
      <w:pPr>
        <w:ind w:left="440" w:right="120" w:firstLine="419"/>
        <w:spacing w:after="0" w:line="255" w:lineRule="auto"/>
        <w:tabs>
          <w:tab w:leader="none" w:pos="11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71" w:name="page72"/>
    <w:bookmarkEnd w:id="71"/>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Benchmark Replacement will replace the then-current Benchmark for all purposes hereunder or under any other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effective unless the Agent has delivered to the Lenders and the Company a Term CORRA Notice. For the avoidance of doubt, the Agent shall not be required to deliver a Term CORRA Notice after the occurrence of a Term CORRA Reelection Event and may do so in its sole discretion.</w:t>
      </w:r>
    </w:p>
    <w:p>
      <w:pPr>
        <w:spacing w:after="0" w:line="75" w:lineRule="exact"/>
        <w:rPr>
          <w:sz w:val="20"/>
          <w:szCs w:val="20"/>
          <w:color w:val="auto"/>
        </w:rPr>
      </w:pPr>
    </w:p>
    <w:p>
      <w:pPr>
        <w:ind w:right="40" w:firstLine="419"/>
        <w:spacing w:after="0" w:line="254" w:lineRule="auto"/>
        <w:tabs>
          <w:tab w:leader="none" w:pos="7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promptly notify the Company and the Lenders of (A) any occurrence of a Benchmark Transition Event, (B) the implementation of any Benchmark Replacement, (C) the effectiveness of any Benchmark Replacement Conforming Changes, (D) the removal or reinstatement of any tenor of a Benchmark pursuant to Section 2.12(b)(iv) and (E) the commencement or conclusion of any Benchmark Unavailability Period. Any determination, decision or election that may be made by the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(A) if the then-current Benchmark is a term rate (including the Term SOFR, the EURIBO Rate, the Term CORRA or the STIBO Rate) and either (x) any tenor for such Benchmark is not displayed on a screen or other information service that publishes such rate from time to time as selected by the Agent in its reasonable discretion or (y)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86" w:lineRule="exact"/>
        <w:rPr>
          <w:rFonts w:ascii="Times New Roman" w:cs="Times New Roman" w:eastAsia="Times New Roman" w:hAnsi="Times New Roman"/>
          <w:sz w:val="18"/>
          <w:szCs w:val="18"/>
          <w:color w:val="auto"/>
        </w:rPr>
      </w:pPr>
    </w:p>
    <w:p>
      <w:pPr>
        <w:ind w:right="20" w:firstLine="419"/>
        <w:spacing w:after="0" w:line="289" w:lineRule="auto"/>
        <w:tabs>
          <w:tab w:leader="none" w:pos="67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Company’s receipt of notice of the commencement of a Benchmark Unavailability Period, the applicable Borrower (or the Company on its behalf) may revoke any request for borrowing of, conversion to or continuation of a Term Benchmark Borrowing or RFR Borrowing to be made, converted or continued during any Benchmark Unavailability Period and, failing that, (A) the applicable Borrower will be</w:t>
      </w:r>
    </w:p>
    <w:p>
      <w:pPr>
        <w:spacing w:after="0" w:line="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00"/>
          </w:cols>
          <w:pgMar w:left="880" w:top="270" w:right="519" w:bottom="1440" w:gutter="0" w:footer="0" w:header="0"/>
        </w:sectPr>
      </w:pPr>
    </w:p>
    <w:bookmarkStart w:id="72" w:name="page73"/>
    <w:bookmarkEnd w:id="7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deemed to have converted any request for an affected Term Benchmark Borrowing denominated in US Dollars into a request for a borrowing of or conversion to (1) an RFR Borrowing denominated in US Dollars so long as the Daily Simple SOFR is not the subject of a Benchmark Transition Event or (2) an ABR Borrowing if the Daily Simple SOFR is also the subject of a Benchmark Transition Event or (B) any request for any affected Term Benchmark Borrowing or RFR Borrowing denominated in a Designated Foreign Currency shall be ineffective.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(A) in the case of Loans denominated in US Dollars, (1) any Term Benchmark Loan shall on the last day of the Interest Period applicable to such Loan convert to, and shall constitute, (x) an RFR Loan denominated in US Dollars so long as the Daily Simple SOFR is not the subject of a Benchmark Transition Event or (y) an ABR Loan if the Daily Simple SOFR is the subject of a Benchmark Transition Event and (2) any RFR Loan shall on and from such day convert to, and shall constitute, an ABR Loan and (B) in the case of Loans denominated in a Designated Foreign Currency, (1) any Term Benchmark Loan shall, on the last day of the Interest Period applicable to such Loan, convert to, and shall constitute, a CBR Loan that bears interest at the Central Bank Rate for the applicable Designated Foreign Currency (or, in the case of a Loan denominated in Canadian Dollars, the Canadian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Agent determines (which determination shall be conclusive and binding absent manifest error) that the Central Bank Rate for the applicable Designated Foreign Currency (or, in the case of a Loan denominated in Canadian Dollars, the Canadian Prime Rate) cannot be determined, any such affected Loan shall be prepaid in full by the applicable Borrower on the day that the Company receives notice thereof from the Agent, and (2) any RFR Loan shall convert to, and shall constitute, a CBR Loan that bears interest at the Central Bank Rate for the applicable Designated Foreign Currency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Agent determines (which determination shall be conclusive and binding absent manifest error) that the Central Bank Rate for the applicable Designated Foreign Currency cannot be determined, any such affected Loan shall be prepaid in full by the applicable Borrower on the day that the Company receives notice thereof from the Agent. Interest on any CBR Loan shall be payable, and principal of any CBR Loan shall be payable or prepayable, in each case, as would be applicable to the Loan that was converted into such CBR Loan.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xml:space="preserve"> (a) If any Change in Law shall:</w:t>
      </w:r>
    </w:p>
    <w:p>
      <w:pPr>
        <w:spacing w:after="0" w:line="117" w:lineRule="exact"/>
        <w:rPr>
          <w:sz w:val="20"/>
          <w:szCs w:val="20"/>
          <w:color w:val="auto"/>
        </w:rPr>
      </w:pPr>
    </w:p>
    <w:p>
      <w:pPr>
        <w:ind w:right="180" w:firstLine="419"/>
        <w:spacing w:after="0" w:line="266" w:lineRule="auto"/>
        <w:tabs>
          <w:tab w:leader="none" w:pos="6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requirements (including any compulsory loan requirement, insurance charge or other assessment) against assets of, deposits with or for the account of, or credit extended or participated in by, any Lender or Issuing Bank;</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60"/>
          </w:cols>
          <w:pgMar w:left="880" w:top="270" w:right="459" w:bottom="1440" w:gutter="0" w:footer="0" w:header="0"/>
        </w:sectPr>
      </w:pPr>
    </w:p>
    <w:bookmarkStart w:id="73" w:name="page74"/>
    <w:bookmarkEnd w:id="73"/>
    <w:p>
      <w:pPr>
        <w:ind w:left="440" w:right="580" w:firstLine="419"/>
        <w:spacing w:after="0" w:line="282" w:lineRule="auto"/>
        <w:tabs>
          <w:tab w:leader="none" w:pos="11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impose on any Lender or Issuing Bank or the applicable interbank market any other condition, cost or expense (other than Taxes) affecting this Agreement or Loans made by such Lender or any Letter of Credit or participation therein; 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the term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other Recipient of making, converting to, continuing or maintaining any Loan or of maintaining its obligation to make any Loan, or to increase the cost to such Lender, Issuing Bank or other Recipient of participating in, issuing or maintaining any Letter of Credit (or of maintaining its obligation to participate in or to issue any Letter of Credit), or to reduce the amount of any sum received or receivable by such Lender, Issuing Bank or other Recipient hereunder (whether of principal, interest or any other amount) then, from time to time upon request of such Lender, Issuing Bank or other Recipient, the Company will pay or cause to be paid to such Lender, Issuing Bank or other Recipient, as the case may be, such additional amount or amounts as will compensate such Lender, Issuing Bank or other Recipient, as the case may be, for such additional costs incurred or reduction suffered.</w:t>
      </w:r>
    </w:p>
    <w:p>
      <w:pPr>
        <w:spacing w:after="0" w:line="81" w:lineRule="exact"/>
        <w:rPr>
          <w:sz w:val="20"/>
          <w:szCs w:val="20"/>
          <w:color w:val="auto"/>
        </w:rPr>
      </w:pPr>
    </w:p>
    <w:p>
      <w:pPr>
        <w:ind w:left="440" w:firstLine="419"/>
        <w:spacing w:after="0" w:line="253"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affecting such Lender or Issuing Bank or any lending office of such Lender or such Lender’s or Issuing Bank’s holding company, if any, regarding capital or liquidity requirements has had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or liquidity), then, from time to time upon request of such Lender or Issuing Bank, the Company will pay or cause to be paid to such Lender or Issuing Bank, as the case may be, such additional amount or amounts as will compensate such Lender or Issuing Bank or such Lender’s or Issuing Bank’s holding company for any such reduction suffered.</w:t>
      </w:r>
    </w:p>
    <w:p>
      <w:pPr>
        <w:spacing w:after="0" w:line="86"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other Recipient setting forth the amount or amounts necessary to compensate such Lender or other Recipient or its holding company, as the case may be, as specified in paragraph (a) or (b) of this Section delivered to the Company shall be conclusive absent manifest error. In determining such amount or amounts, such Lender or other Recipient may use any reasonable averaging and attribution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4" w:name="page75"/>
    <w:bookmarkEnd w:id="74"/>
    <w:p>
      <w:pPr>
        <w:ind w:left="44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methods. Any such certificate shall contain a statement as to the calculation of such amount or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or other Recipient shall not be required to disclose any information it considers, in its sole discretion, to be confidential. The Company will pay or cause to be paid to such Lender or other Recipient, as the case may be, the amount shown as due on any such certificate within 30 days after receipt thereof.</w:t>
      </w:r>
    </w:p>
    <w:p>
      <w:pPr>
        <w:spacing w:after="0" w:line="72" w:lineRule="exact"/>
        <w:rPr>
          <w:sz w:val="20"/>
          <w:szCs w:val="20"/>
          <w:color w:val="auto"/>
        </w:rPr>
      </w:pPr>
    </w:p>
    <w:p>
      <w:pPr>
        <w:ind w:left="440" w:right="60" w:firstLine="419"/>
        <w:spacing w:after="0" w:line="255"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other Recipient to demand compensation pursuant to this Section shall not constitute a waiver of such Lender’s or other Recipient’s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Lender or other Recipient pursuant to this Section for any increased costs or expenses incurred or reductions suffered more than 180 days prior to the date that such Lender or other Recipient, as the case may be, notifies the Company of the Change in Law giving rise to such increased costs or expenses or reductions and of such Lender’s or other Recipient’s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expenses or reductions is retroactive, then the 180-day period referred to above shall be extended to include the period of retroactive effect thereof.</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Benchmark Loan other than on the last day of an Interest Period applicable thereto (including as a result of an Event of Default), (b) the conversion of any Term Benchmark Loan other than on the last day of the Interest Period applicable thereto, (c) the failure to borrow, convert, continue or prepay any Term Benchmark Loan on the date specified in any notice delivered pursuant hereto (regardless of whether any such notice may be revoked or extended under Section 2.09(d) and is revoked or extended in accordance therewith) or (d) the assignment of any Term Benchmark Loan other than on the last day of the Interest Period applicable thereto as a result of a request by the Company pursuant to Section 2.17, then, in any such event, the applicable Borrower shall compensate each Lender for the loss, cost and expense (but not for any lost profit) attributable to such event. A certificate of any Lender setting forth in reasonable detail any amount or amounts that such Lender is entitled to receive pursuant to this Section and explaining in reasonable detail the method by which such amount shall have been determined shall be delivered to the Company and shall be conclusive absent manifest error. The Company shall pay such Lender the amount shown as due on any such certificate within 30 days after receipt thereof.</w:t>
      </w:r>
    </w:p>
    <w:p>
      <w:pPr>
        <w:spacing w:after="0" w:line="194"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shall be increased as necessary so that after such deduction or withholding has been made (including such deductions and withholdings applicable to additional sums payable under this Section 2.15) the applicable Recipient receives an amount equal to the sum it would have received had no such deduction or withholding been made.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5" w:name="page76"/>
    <w:bookmarkEnd w:id="75"/>
    <w:p>
      <w:pPr>
        <w:ind w:right="180" w:firstLine="419"/>
        <w:spacing w:after="0" w:line="282"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Other Taxes by the Borrowers</w:t>
      </w:r>
      <w:r>
        <w:rPr>
          <w:rFonts w:ascii="Times New Roman" w:cs="Times New Roman" w:eastAsia="Times New Roman" w:hAnsi="Times New Roman"/>
          <w:sz w:val="18"/>
          <w:szCs w:val="18"/>
          <w:color w:val="auto"/>
        </w:rPr>
        <w:t>. The Borrowers shall timely pay to the relevant Governmental Authority in accordance with applicable law, or at the option of the Agent timely reimburse it for the payment of, any Other Taxes.</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As soon as practicable after any payment of Taxes by any Borrower to a Governmental Authority pursuant to this Section, such Borrower shall deliver to the Agent the original or a certified copy of a receipt issued by such Governmental Authority evidencing such payment, a copy of the return reporting such payment or other satisfactory evidence of such payment.</w:t>
      </w:r>
    </w:p>
    <w:p>
      <w:pPr>
        <w:spacing w:after="0" w:line="67" w:lineRule="exact"/>
        <w:rPr>
          <w:rFonts w:ascii="Times New Roman" w:cs="Times New Roman" w:eastAsia="Times New Roman" w:hAnsi="Times New Roman"/>
          <w:sz w:val="18"/>
          <w:szCs w:val="18"/>
          <w:color w:val="auto"/>
        </w:rPr>
      </w:pPr>
    </w:p>
    <w:p>
      <w:pPr>
        <w:ind w:right="180" w:firstLine="419"/>
        <w:spacing w:after="0" w:line="256"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The Borrowers shall indemnify each Recipient, within 15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Agent), or by the Agent on its own behalf or on behalf of a Lender, shall be conclusive absent manifest error.</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Agent, within 15 days after demand therefor, for (i) any Indemnified Taxes attributable to such Lender (but only to the extent that any Borrower has not already indemnified the Agent for such Indemnified Taxes and without limiting the obligation of the Borrowers to do so), (ii) any Taxes attributable to such Lender’s failure to comply with the provisions of Section 9.05(b)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w:t>
      </w:r>
    </w:p>
    <w:p>
      <w:pPr>
        <w:spacing w:after="0" w:line="80"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6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Company and the Agent, at the time or times reasonably requested by the Company or the Agent, such properly completed and executed documentation reasonably requested by the Company or the Agent as will permit such payments to be made without withholding or at a reduced rate of withholding. In addition, any Lender, if</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60"/>
          </w:cols>
          <w:pgMar w:left="880" w:top="270" w:right="459" w:bottom="1440" w:gutter="0" w:footer="0" w:header="0"/>
        </w:sectPr>
      </w:pPr>
    </w:p>
    <w:bookmarkStart w:id="76" w:name="page77"/>
    <w:bookmarkEnd w:id="7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requested by the Company or the Agent, shall deliver such other documentation prescribed by applicable law or reasonably requested by the Company or the Agent as will enable the Company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2.15(f)(ii)(A), (ii)(B) and (ii)(D)) shall not be required if in the Lender’s reasonable judgment such completion, execution or submission would subject such Lender to any material unreimbursed cost or expense or would materially prejudice the legal or commercial position of such Lender. Notwithstanding the foregoing, in the case of any applicable Borrower that is not a U.S. Person, the applicable Lender will not be subject to the requirements of this paragraph (f)(i) unless it has received written notice from such Borrower advising it of the availability of an exemption or reduction of withholding Tax under the laws of the jurisdiction in which such Borrower is located and containing all applicable documentation (together, if requested by such Lender, with a certified English translation thereof) required to be completed by such Lender in order to receive any such exemption or reduction, and such Lender is reasonably satisfied that it is legally able to provide such documentation to such Borrower.</w:t>
      </w:r>
    </w:p>
    <w:p>
      <w:pPr>
        <w:spacing w:after="0" w:line="84" w:lineRule="exact"/>
        <w:rPr>
          <w:sz w:val="20"/>
          <w:szCs w:val="20"/>
          <w:color w:val="auto"/>
        </w:rPr>
      </w:pPr>
    </w:p>
    <w:p>
      <w:pPr>
        <w:ind w:left="680" w:hanging="26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 Borrower is a U.S. Person:</w:t>
      </w:r>
    </w:p>
    <w:p>
      <w:pPr>
        <w:spacing w:after="0" w:line="117" w:lineRule="exact"/>
        <w:rPr>
          <w:rFonts w:ascii="Times New Roman" w:cs="Times New Roman" w:eastAsia="Times New Roman" w:hAnsi="Times New Roman"/>
          <w:sz w:val="18"/>
          <w:szCs w:val="18"/>
          <w:color w:val="auto"/>
        </w:rPr>
      </w:pPr>
    </w:p>
    <w:p>
      <w:pPr>
        <w:ind w:left="540" w:right="400" w:firstLine="408"/>
        <w:spacing w:after="0" w:line="266" w:lineRule="auto"/>
        <w:tabs>
          <w:tab w:leader="none" w:pos="123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such Borrower and the Agent on or prior to the date on which such Lender becomes a Lender under this Agreement (and from time to time thereafter upon the reasonable request of the Company or the Agent), executed copies of IRS Form W-9 certifying that such Lender is exempt from U.S. Federal backup withholding tax;</w:t>
      </w:r>
    </w:p>
    <w:p>
      <w:pPr>
        <w:spacing w:after="0" w:line="67" w:lineRule="exact"/>
        <w:rPr>
          <w:rFonts w:ascii="Times New Roman" w:cs="Times New Roman" w:eastAsia="Times New Roman" w:hAnsi="Times New Roman"/>
          <w:sz w:val="18"/>
          <w:szCs w:val="18"/>
          <w:color w:val="auto"/>
        </w:rPr>
      </w:pPr>
    </w:p>
    <w:p>
      <w:pPr>
        <w:ind w:left="540" w:firstLine="408"/>
        <w:spacing w:after="0" w:line="266" w:lineRule="auto"/>
        <w:tabs>
          <w:tab w:leader="none" w:pos="122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Agent (in such number of copies as shall be requested by the recipient) on or prior to the date on which such Foreign Lender becomes a Lender under this Agreement (and from time to time thereafter upon the reasonable request of the Company or the Agent), whichever of the following is applicable:</w:t>
      </w:r>
    </w:p>
    <w:p>
      <w:pPr>
        <w:spacing w:after="0" w:line="67" w:lineRule="exact"/>
        <w:rPr>
          <w:rFonts w:ascii="Times New Roman" w:cs="Times New Roman" w:eastAsia="Times New Roman" w:hAnsi="Times New Roman"/>
          <w:sz w:val="18"/>
          <w:szCs w:val="18"/>
          <w:color w:val="auto"/>
        </w:rPr>
      </w:pPr>
    </w:p>
    <w:p>
      <w:pPr>
        <w:ind w:left="980" w:right="140" w:firstLine="391"/>
        <w:spacing w:after="0" w:line="256" w:lineRule="auto"/>
        <w:tabs>
          <w:tab w:leader="none" w:pos="1578"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80"/>
          </w:cols>
          <w:pgMar w:left="880" w:top="270" w:right="439" w:bottom="1440" w:gutter="0" w:footer="0" w:header="0"/>
        </w:sectPr>
      </w:pPr>
    </w:p>
    <w:bookmarkStart w:id="77" w:name="page78"/>
    <w:bookmarkEnd w:id="77"/>
    <w:p>
      <w:pPr>
        <w:ind w:left="1080" w:hanging="269"/>
        <w:spacing w:after="0"/>
        <w:tabs>
          <w:tab w:leader="none" w:pos="10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copies of IRS Form W-8ECI;</w:t>
      </w:r>
    </w:p>
    <w:p>
      <w:pPr>
        <w:spacing w:after="0" w:line="117" w:lineRule="exact"/>
        <w:rPr>
          <w:rFonts w:ascii="Times New Roman" w:cs="Times New Roman" w:eastAsia="Times New Roman" w:hAnsi="Times New Roman"/>
          <w:sz w:val="18"/>
          <w:szCs w:val="18"/>
          <w:color w:val="auto"/>
        </w:rPr>
      </w:pPr>
    </w:p>
    <w:p>
      <w:pPr>
        <w:ind w:left="420" w:firstLine="391"/>
        <w:spacing w:after="0" w:line="255" w:lineRule="auto"/>
        <w:tabs>
          <w:tab w:leader="none" w:pos="111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the Company within the meaning of Section 881(c)(3)(B) of the Internal Revenue Code, or a “controlled foreign corporation” described in Section 881(c)</w:t>
      </w:r>
    </w:p>
    <w:p>
      <w:pPr>
        <w:spacing w:after="0" w:line="2" w:lineRule="exact"/>
        <w:rPr>
          <w:rFonts w:ascii="Times New Roman" w:cs="Times New Roman" w:eastAsia="Times New Roman" w:hAnsi="Times New Roman"/>
          <w:sz w:val="18"/>
          <w:szCs w:val="18"/>
          <w:color w:val="auto"/>
        </w:rPr>
      </w:pPr>
    </w:p>
    <w:p>
      <w:pPr>
        <w:ind w:left="42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Internal Revenue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as applicable; or</w:t>
      </w:r>
    </w:p>
    <w:p>
      <w:pPr>
        <w:spacing w:after="0" w:line="73" w:lineRule="exact"/>
        <w:rPr>
          <w:rFonts w:ascii="Times New Roman" w:cs="Times New Roman" w:eastAsia="Times New Roman" w:hAnsi="Times New Roman"/>
          <w:sz w:val="18"/>
          <w:szCs w:val="18"/>
          <w:color w:val="auto"/>
        </w:rPr>
      </w:pPr>
    </w:p>
    <w:p>
      <w:pPr>
        <w:ind w:left="420" w:right="140" w:firstLine="391"/>
        <w:spacing w:after="0" w:line="256" w:lineRule="auto"/>
        <w:tabs>
          <w:tab w:leader="none" w:pos="110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W-8BEN or IRS Form W-8BEN-E, as applicable,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20" w:firstLine="408"/>
        <w:spacing w:after="0" w:line="256" w:lineRule="auto"/>
        <w:tabs>
          <w:tab w:leader="none" w:pos="6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Agent (in such number of copies as shall be requested by the recipient) on or prior to the date on which such Foreign Lender becomes a Lender under this Agreement (and from time to time thereafter upon the reasonable request of the Company or the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20" w:firstLine="408"/>
        <w:spacing w:after="0" w:line="254" w:lineRule="auto"/>
        <w:tabs>
          <w:tab w:leader="none" w:pos="6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Company and the Agent at the time or times prescribed by law and at such time or times reasonably requested by the Company or the Agent such documentation prescribed by applicable law (including as prescribed by Section 1471(b)(3)(C)(i) of the Internal Revenue Code) and such additional documentation reasonably requested by the Company or the Agent as may be necessary for the Company and the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Effective Date.</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020"/>
          </w:cols>
          <w:pgMar w:left="1440" w:top="270" w:right="439" w:bottom="1440" w:gutter="0" w:footer="0" w:header="0"/>
        </w:sectPr>
      </w:pPr>
    </w:p>
    <w:bookmarkStart w:id="78" w:name="page79"/>
    <w:bookmarkEnd w:id="78"/>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the Company and the Agent in writing of its legal inability to do so.</w:t>
      </w:r>
    </w:p>
    <w:p>
      <w:pPr>
        <w:spacing w:after="0" w:line="54" w:lineRule="exact"/>
        <w:rPr>
          <w:sz w:val="20"/>
          <w:szCs w:val="20"/>
          <w:color w:val="auto"/>
        </w:rPr>
      </w:pPr>
    </w:p>
    <w:p>
      <w:pPr>
        <w:ind w:left="440" w:firstLine="419"/>
        <w:spacing w:after="0" w:line="253"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(whether in the form of cash or credit)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pay to such indemnified party the amount paid over pursuant to this paragraph (plus any penalties, interest or other charges imposed by the relevant Governmental Authority) in the event that such indemnified party is required to repay such refund to such Governmental Authority (but only to the extent of such repayment). Notwithstanding anything to the contrary in this paragraph, the indemnified party will be required to pay an amount to an indemnifying party pursuant to this paragraph only to the extent that such payment would not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9"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Section, the term “Lender” shall include any Issuing Bank and the term “applicable law” shall include FATCA.</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 xml:space="preserve"> (a) Each Borrower shall make each payment required to be made by it hereunder or under any other Loan Document (whether of principal, interest, fees or reimbursement of LC Disbursements or otherwise) prior to the time expressly required hereunder or under such other Loan Document for such payment or, if no such time is expressly required, prior to (i) in the case of payments denominated in US Dollars, 12:00 noon, New York City time, and (ii) in the case of payments denominated in a Designated Foreign Currency, the Applicable Time specified by the Agent, in each case on the date when due, in immediately available funds, without defense, set-off, recoupment or counterclaim. Any amounts received after such time on any date may, in the discretion of the Agent, be deemed to have been received on the next succeeding Business Day for purposes of calculating interest thereon. All such payments shall be made to the Agent for the account of the applicable Lenders to such account of the Agent as shall be set forth in the Administrative Questionnaire provided by the Agent to the Company from time to time, except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9" w:name="page80"/>
    <w:bookmarkEnd w:id="7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payments to be made directly to an Issuing Bank as expressly provided herein shall be made directly to such party and payments pursuant to Sections 2.13, 2.14, 2.15, 2.18 and 9.03 shall be made directly to the Persons entitled thereto. The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Loan Document shall be made in US Dollars. Any payment required to be made by the Agent hereunder shall be deemed to have been made by the time required if the Agent shall, at or before such time, have taken the necessary steps to make such payment in accordance with the regulations or operating procedures of the clearing or settlement system used by the Agent to make such payment.</w:t>
      </w:r>
    </w:p>
    <w:p>
      <w:pPr>
        <w:spacing w:after="0" w:line="80" w:lineRule="exact"/>
        <w:rPr>
          <w:sz w:val="20"/>
          <w:szCs w:val="20"/>
          <w:color w:val="auto"/>
        </w:rPr>
      </w:pPr>
    </w:p>
    <w:p>
      <w:pPr>
        <w:ind w:left="440" w:right="140" w:firstLine="419"/>
        <w:spacing w:after="0" w:line="256"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insufficient funds are received by the Agent from any Borrower (or from the Company as guarantor of the Obligations of such Borrower pursuant to Article VIII) and available to pay fully all amounts of principal, unreimbursed LC Disbursements, interest and fees then due from such Borrower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towards payment of interest and fees then due from such Borrower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towards payment of principal of the Loans and unreimbursed LC Disbursements then due from such Borrower hereunder, ratably among the parties entitled thereto in accordance with the amounts of such principal then due to such parties.</w:t>
      </w:r>
    </w:p>
    <w:p>
      <w:pPr>
        <w:spacing w:after="0" w:line="79" w:lineRule="exact"/>
        <w:rPr>
          <w:rFonts w:ascii="Times New Roman" w:cs="Times New Roman" w:eastAsia="Times New Roman" w:hAnsi="Times New Roman"/>
          <w:sz w:val="18"/>
          <w:szCs w:val="18"/>
          <w:color w:val="auto"/>
        </w:rPr>
      </w:pPr>
    </w:p>
    <w:p>
      <w:pPr>
        <w:ind w:left="440" w:firstLine="419"/>
        <w:spacing w:after="0" w:line="252" w:lineRule="auto"/>
        <w:tabs>
          <w:tab w:leader="none" w:pos="11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by exercising any right of set-off or counterclaim or otherwise, obtain payment in respect of its Loans, participations in LC Disbursements or accrued interest on any of the foregoing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other Loan Document (for the avoidance of doubt, as it may be amended from time to time) or any payment obtained by a Lender as consideration for the assignment of or sale of a participation in any of its Claims to any assignee or participant, other than to the Company or any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each Borrower rights of set-off and counterclaim with respect to such participation as fully as if such Lender were a direct creditor of such Borrower in the amount of such participation.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80" w:name="page81"/>
    <w:bookmarkEnd w:id="80"/>
    <w:p>
      <w:pPr>
        <w:ind w:left="440" w:right="80" w:firstLine="419"/>
        <w:spacing w:after="0" w:line="255"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Agent shall have received notice from a Borrower prior to the date on which any payment is due to the Agent for the account of any Lenders or Issuing Bank hereunder that such Borrower will not make such payment, the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the Agent forthwith on demand the amount so distributed to such Lender or Issuing Bank with interest thereon, for each day from and including the date such amount is distributed to it to but excluding the date of payment to the Agent, at the Overnight Rate.</w:t>
      </w:r>
    </w:p>
    <w:p>
      <w:pPr>
        <w:spacing w:after="0" w:line="189"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 xml:space="preserve"> (a) If any Lender requests compensation under Section 2.13 or 2.18, or if any Borrower is required to pay any additional amount to any Lender or any Governmental Authority for the account of any Lender pursuant to Section 2.15,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2.13, 2.15 or 2.18,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84" w:lineRule="exact"/>
        <w:rPr>
          <w:sz w:val="20"/>
          <w:szCs w:val="20"/>
          <w:color w:val="auto"/>
        </w:rPr>
      </w:pPr>
    </w:p>
    <w:p>
      <w:pPr>
        <w:ind w:left="440" w:firstLine="419"/>
        <w:spacing w:after="0" w:line="253"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Section 2.13 or 2.18, (ii) any Borrower is required to pay any additional amount to any Lender or any Governmental Authority for the account of any Lender pursuant to Section 2.15, (iii) any Lender is a Defaulting Lender, (iv) any Lender is a Non-Extending Lender or (v) any Lender has failed to consent to a proposed amendment or waiver that under Section 9.04 requires the consent of all the Lenders (or all the affected Lenders or all the Lenders of the affected Class) and with respect to which the Required Lenders (or, in circumstances where Section 9.04 does not require the consent of the Required Lenders, a majority in interest of the Lenders of the affected Class) shall have granted their consent, then the Company may, at its sole expense and effort, upon notice to such Lender and the Agent, require such Lender to assign and delegate, without recourse (in accordance with and subject to the restrictions contained in Section 9.05), all its interests, rights (other than its existing rights to payments pursuant to Sections 2.13, 2.15 or 2.18) and obligations under the Loan Documents (or, in the case of any such assignment and delegation resulting from a failure to provide a consent, all its interests, rights (other than such existing rights) and obligations under this Agreement and the other Loan Documents as a Lender of a particular Class) to an Eligible Assignee that shall assume such obligations (which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Company shall have received the prior written consent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1" w:name="page82"/>
    <w:bookmarkEnd w:id="81"/>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Agent and each Issuing Bank, which consent, in each case, shall not be unreasonably withheld, delayed or conditioned, (B) such Lender shall have received payment of an amount equal to the outstanding principal of its Loans and funded participations in LC Disbursements, accrued interest thereon, accrued fees and all other amounts payable to it hereunder (if applicable, in each case only to the extent such amounts relate to its interest as a Lender of a particular Class) from the assignee (to the extent of such outstanding principal, funded participations and accrued interest and fees) or the applicable Borrowers (in the case of all other amounts), (C) in the case of any such assignment resulting from a claim for compensation under Section 2.13 or 2.18 or payments required to be made pursuant to Section 2.15, such assignment will result in a material reduction in such compensation or payments, (D) in the case of any such assignment and delegation resulting from the status of such Lender as a Non-Extending Lender, the assignee shall have agreed to the applicable Extension, (E)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or waiver and (F) such assignment does not conflict with applicable law. A Lender shall not be required to make any such assignment and delegation if, prior thereto, as a result of a waiver by such Lender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Agent and the assignee and that the Lender required to make such assignment and delegation need not be a party thereto.</w:t>
      </w:r>
    </w:p>
    <w:p>
      <w:pPr>
        <w:spacing w:after="0" w:line="19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Foreign Subsidiary Costs.</w:t>
      </w:r>
      <w:r>
        <w:rPr>
          <w:rFonts w:ascii="Times New Roman" w:cs="Times New Roman" w:eastAsia="Times New Roman" w:hAnsi="Times New Roman"/>
          <w:sz w:val="18"/>
          <w:szCs w:val="18"/>
          <w:color w:val="auto"/>
        </w:rPr>
        <w:t xml:space="preserve"> (a) If the cost to any Lender of making, converting to, continuing or maintaining any Loan to (or of maintaining its obligation to make any such Loan), or the cost to any Lender or any Issuing Bank of participating in, issuing, or maintaining any Letter of Credit (or of maintaining its obligation to participate in or to issue any such Letter of Credit) issued for the account of any Borrowing Subsidiary is increased (or the amount of any sum received or receivable by any Lender (or its applicable lending office) or Issuing Bank is reduced) by an amount deemed in good faith by such Lender or Issuing Bank, as the case may be, to be material, by reason of the fact that such Borrowing Subsidiary is incorporated in, or conducts business in, a jurisdiction outside the United States, such Borrowing Subsidiary shall indemnify such Lender or Issuing Bank, as the case may be, for such increased cost or reduction within 15 days after demand by such Lender or Issuing Bank (with a copy to the Agent). A certificate of such Lender or Issuing Bank claiming compensation under this paragraph and setting forth the additional amount or amounts to be paid to it hereunder (and the basis for the calculation of such amount or amounts) shall be conclusive in the absence of manifest error.</w:t>
      </w:r>
    </w:p>
    <w:p>
      <w:pPr>
        <w:spacing w:after="0" w:line="80" w:lineRule="exact"/>
        <w:rPr>
          <w:sz w:val="20"/>
          <w:szCs w:val="20"/>
          <w:color w:val="auto"/>
        </w:rPr>
      </w:pPr>
    </w:p>
    <w:p>
      <w:pPr>
        <w:ind w:left="440" w:right="40" w:firstLine="419"/>
        <w:spacing w:after="0" w:line="261" w:lineRule="auto"/>
        <w:tabs>
          <w:tab w:leader="none" w:pos="11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Issuing Bank will promptly notify the Company and the Agent of any event of which it has knowledge that will entitle such Lender or Issuing Bank to additional interest or payments pursuant to paragraph (a) above, but in any event within 90 days after such Lender or Issuing Bank obtains actual knowledge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Lender or Issuing Bank fails to give such notice within 90 days after it obtains actual knowledge of such an event, such Lender or Issuing Bank shall, with respect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82" w:name="page83"/>
    <w:bookmarkEnd w:id="82"/>
    <w:p>
      <w:pPr>
        <w:ind w:left="440"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payable pursuant to this Section 2.18 in respect of any costs or reductions resulting from such event, only be entitled to payment under this Section 2.18 for costs or reductions incurred from and after the date 90 days prior to the date that such Lender or Issuing Bank does give such notice and (ii) each Lender will, promptly after obtaining such actual knowledge, designate a different applicable lending office, if, in the judgment of such Lender, such designation will avoid the need for, or reduce the amount of, such compensation and will not be otherwise disadvantageous to such Lender.</w:t>
      </w:r>
    </w:p>
    <w:p>
      <w:pPr>
        <w:spacing w:after="0" w:line="183"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Designation of Borrowing Subsidiaries.</w:t>
      </w:r>
      <w:r>
        <w:rPr>
          <w:rFonts w:ascii="Times New Roman" w:cs="Times New Roman" w:eastAsia="Times New Roman" w:hAnsi="Times New Roman"/>
          <w:sz w:val="18"/>
          <w:szCs w:val="18"/>
          <w:color w:val="auto"/>
        </w:rPr>
        <w:t xml:space="preserve"> (a) After the date hereof, the Company may request the designation of any Subsidiary as a Borrowing Subsidiary by delivery to the Agent of a Borrowing Subsidiary Agreement executed by such Subsidiary and the Company. Promptly following receipt of a Borrowing Subsidiary Agreement, the Agent shall make a copy thereof available to each Lender and Issuing Bank. Unless any Lender or Issuing Bank shall inform the Agent within 10 Business Days (or, in the case of any such Subsidiary that is a Foreign Subsidiary, 15 Business Days) following the receipt of such Borrowing Subsidiary Agreement by such Lender or Issuing Bank that it is unlawful or, solely in the case of a Subsidiary not organized under the law of a Borrowing Subsidiary Approved Jurisdiction, contrary to internal policies of general applicability of such Lender or Issuing Bank, for such Lender or Issuing Bank to extend credit to such Subsidiary (in which case such Subsidiary shall not become a Borrowing Subsidiary), such Subsidiary shall, upon the satisfaction of the conditions set forth in Section 4.03, become for all purposes of this Agreement a Borrowing Subsidiary and a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Subsidiary that is a Foreign Subsidiary, if so requested by the Agent, the Company and the Agent shall have entered into (and are hereby authorized to enter into) an amendment to this Agreement (including the Exhibits hereto) pursuant to which an Affiliate of the Agent that is specified by the Agent (which may be J.P. Morgan SE) shall perform the administrative agent functions in respect of extensions of credit hereunder to such Foreign Subsidiary, which amendment shall be in form and substance reasonably satisfactory to the Agent and the Company.</w:t>
      </w:r>
    </w:p>
    <w:p>
      <w:pPr>
        <w:spacing w:after="0" w:line="79" w:lineRule="exact"/>
        <w:rPr>
          <w:sz w:val="20"/>
          <w:szCs w:val="20"/>
          <w:color w:val="auto"/>
        </w:rPr>
      </w:pPr>
    </w:p>
    <w:p>
      <w:pPr>
        <w:ind w:left="440" w:firstLine="419"/>
        <w:spacing w:after="0" w:line="254"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shall have executed and delivered to the Agent a Borrowing Subsidiary Termination with respect to any Borrowing Subsidiary, such Subsidiary shall cease to be a Borrowing Subsidiary and a party to this Agreement. Promptly following receipt of any Borrowing Subsidiary Termination, the Agent shall make a copy thereof available to each Lender and Issuing Bank. Notwithstanding the second preceding sentence, no Borrowing Subsidiary Termination will become effective as to any Borrowing Subsidiary at a time when any principal of or interest on any Loan to, or Letter of Credit issued for the account of, such Borrowing Subsidiary shall be outstanding hereunder, unless, with respect to such outstanding Letter of Credit, the Company shall have agreed to be the applicant with respect to each such Letter of Credit and to be responsible for all LC Disbursements thereunder and other amounts relating thereto pursuant to an assumption agreement reasonably satisfactory to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Borrowing Subsidiary Termination shall be effective to terminate such Borrowing Subsidiary’s right to make further Borrowings or to obtain further Letters of Credit under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3" w:name="page84"/>
    <w:bookmarkEnd w:id="83"/>
    <w:p>
      <w:pPr>
        <w:ind w:left="440" w:right="340" w:firstLine="419"/>
        <w:spacing w:after="0" w:line="266" w:lineRule="auto"/>
        <w:tabs>
          <w:tab w:leader="none" w:pos="11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Borrowing Subsidiary hereby irrevocably appoints the Company to serve as its agent for all purposes of this Agreement, (i) the giving and receipt of notices (including any Notice of Borrowing and any Interest Election Request) and (ii) the execution and delivery of all documents, instruments and certificates contemplated 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 Notwithstanding any provision of this Agreement to the contrary, if any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the following provisions shall apply for so long as such Lender is a Defaulting Lender:</w:t>
      </w:r>
    </w:p>
    <w:p>
      <w:pPr>
        <w:spacing w:after="0" w:line="99" w:lineRule="exact"/>
        <w:rPr>
          <w:sz w:val="20"/>
          <w:szCs w:val="20"/>
          <w:color w:val="auto"/>
        </w:rPr>
      </w:pPr>
    </w:p>
    <w:p>
      <w:pPr>
        <w:ind w:left="440" w:right="180" w:firstLine="419"/>
        <w:spacing w:after="0" w:line="266" w:lineRule="auto"/>
        <w:tabs>
          <w:tab w:leader="none" w:pos="10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fees shall continue to accrue on the amount of the Commitments of such Defaulting Lender pursuant to Section 2.10(a) only to the extent of the Credit Exposure of such Defaulting Lender (excluding any portion thereof constituting LC Exposure of such Defaulting Lender that is subject to reallocation under clause (iii)(A) below);</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1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Agent for the account of such Defaulting Lender (whether voluntary or mandatory, at maturity or otherwise) shall be applied at such time or times as may be determined by the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LC Exposure with respect to such Defaulting Lender in accordance with this Section 2.20;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2.20;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and the Issuing Banks as a result of any judgment of a court of competent jurisdiction obtained by any Lender or any Issuing Bank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4" w:name="page85"/>
    <w:bookmarkEnd w:id="84"/>
    <w:p>
      <w:pPr>
        <w:ind w:left="4" w:right="4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Class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their respective Commitments without giving effect to clause</w:t>
      </w:r>
    </w:p>
    <w:p>
      <w:pPr>
        <w:spacing w:after="0" w:line="2" w:lineRule="exact"/>
        <w:rPr>
          <w:sz w:val="20"/>
          <w:szCs w:val="20"/>
          <w:color w:val="auto"/>
        </w:rPr>
      </w:pPr>
    </w:p>
    <w:p>
      <w:pPr>
        <w:ind w:left="4" w:right="180" w:hanging="4"/>
        <w:spacing w:after="0" w:line="277" w:lineRule="auto"/>
        <w:tabs>
          <w:tab w:leader="none" w:pos="30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below; it being agreed that any payments, prepayments or other amounts paid or payable to a Defaulting Lender that are applied (or held) to pay amounts owed by a Defaulting Lender or held in a deposit account to satisfy such Defaulting Lender’s potential future funding obligations pursuant to this clause (ii) shall be deemed paid to and redirected by such Defaulting Lender, and each Lender irrevocably consents hereto;</w:t>
      </w:r>
    </w:p>
    <w:p>
      <w:pPr>
        <w:spacing w:after="0" w:line="60" w:lineRule="exact"/>
        <w:rPr>
          <w:rFonts w:ascii="Times New Roman" w:cs="Times New Roman" w:eastAsia="Times New Roman" w:hAnsi="Times New Roman"/>
          <w:sz w:val="17"/>
          <w:szCs w:val="17"/>
          <w:color w:val="auto"/>
        </w:rPr>
      </w:pPr>
    </w:p>
    <w:p>
      <w:pPr>
        <w:ind w:left="4" w:right="20" w:firstLine="419"/>
        <w:spacing w:after="0" w:line="258" w:lineRule="auto"/>
        <w:tabs>
          <w:tab w:leader="none" w:pos="74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Commitments and Credit Exposures of such Defaulting Lender shall not be included in determining whether the Required Lenders or any other requisite Lenders have taken or may take any action hereunder (including any consent to any amendment, waiver or other modification pursuant to Section 9.04);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waiver or other modification requiring the consent of all Lenders or all Lenders affected thereby shall, except as otherwise provided in Section 9.04, require the consent of such Defaulting Lender in accordance with the terms hereof; and</w:t>
      </w:r>
    </w:p>
    <w:p>
      <w:pPr>
        <w:spacing w:after="0" w:line="75"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Exposure exists at the time such Lender becomes a Defaulting Lender then:</w:t>
      </w:r>
    </w:p>
    <w:p>
      <w:pPr>
        <w:spacing w:after="0" w:line="117" w:lineRule="exact"/>
        <w:rPr>
          <w:rFonts w:ascii="Times New Roman" w:cs="Times New Roman" w:eastAsia="Times New Roman" w:hAnsi="Times New Roman"/>
          <w:sz w:val="18"/>
          <w:szCs w:val="18"/>
          <w:color w:val="auto"/>
        </w:rPr>
      </w:pPr>
    </w:p>
    <w:p>
      <w:pPr>
        <w:ind w:left="544" w:firstLine="408"/>
        <w:spacing w:after="0" w:line="253" w:lineRule="auto"/>
        <w:tabs>
          <w:tab w:leader="none" w:pos="1239"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Tranche One LC Exposure or Tranche Two LC Exposure, as the case may be, of such Defaulting Lender (other than any portion of such LC Exposure attributable to unreimbursed LC Disbursements with respect to which such Defaulting Lender shall have funded its participation as contemplated by Sections 2.04(d) and 2.04(f)) shall be reallocated among the Non-Defaulting Tranche One Lenders or the Non-Defaulting Tranche Two Lenders, as applicable, in proportion to their respective Tranche One Percentages or Tranche Two Percentages, as applicable, but only to the extent (1)(x) the sum of all Non-Defaulting Tranche One Lenders’ Tranche One Credit Exposures plus such Defaulting Lender’s Tranche One LC Exposure (other than any portion thereof referred to in the parenthetical clause above) does not exceed the total of all Non-Defaulting Tranche One Lenders’ Tranche One Commitments and (y) after giving effect to such reallocation, the Tranche One Credit Exposure of any Non-Defaulting Tranche One Lender does not exceed its Tranche One Commitment and (2)(x) the sum of all Non-Defaulting Tranche Two Lenders’ Tranche Two Credit Exposures plus such Defaulting Lender’s Tranche Two LC Exposure (other than any portion thereof referred to in the parenthetical clause above) does not exceed the total of all Non-Defaulting Tranche Two Lenders’ Tranche Two Commitments and (y) after giving effect to such reallocation, the Tranche Two Credit Exposure of any Non-Defaulting Tranche Two Lender does not exceed its Tranche Two Commitment;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64"/>
          </w:cols>
          <w:pgMar w:left="876" w:top="270" w:right="459" w:bottom="1440" w:gutter="0" w:footer="0" w:header="0"/>
        </w:sectPr>
      </w:pPr>
    </w:p>
    <w:bookmarkStart w:id="85" w:name="page86"/>
    <w:bookmarkEnd w:id="85"/>
    <w:p>
      <w:pPr>
        <w:ind w:left="540" w:right="20" w:firstLine="408"/>
        <w:spacing w:after="0" w:line="258" w:lineRule="auto"/>
        <w:tabs>
          <w:tab w:leader="none" w:pos="12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reallocations described in clause (A) above cannot, or can only partially, be effected, the Borrowers shall, within one Business Day following notice by the Agent (after giving effect to any partial reallocation pursuant to clause (A) above), cash collateralize for the benefit of the Issuing Banks the Borrowers’ obligations corresponding to such Defaulting Lender’s LC Exposure (other than any portion thereof referred to in the parenthetical in such clause (A)) that has not been reallocated in accordance with the procedures set forth in Section 2.04(i) for so long as such LC Exposure is outstanding;</w:t>
      </w:r>
    </w:p>
    <w:p>
      <w:pPr>
        <w:spacing w:after="0" w:line="75"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cash collateralize any portion of such Defaulting Lender’s LC Exposure pursuant to clause (B) above, the Borrowers shall not be required to pay any fees to such Defaulting Lender pursuant to Section 2.10(b) with respect to such portion of such Defaulting Lender’s LC Exposure during the period such portion is cash collateralized;</w:t>
      </w:r>
    </w:p>
    <w:p>
      <w:pPr>
        <w:spacing w:after="0" w:line="67" w:lineRule="exact"/>
        <w:rPr>
          <w:rFonts w:ascii="Times New Roman" w:cs="Times New Roman" w:eastAsia="Times New Roman" w:hAnsi="Times New Roman"/>
          <w:sz w:val="18"/>
          <w:szCs w:val="18"/>
          <w:color w:val="auto"/>
        </w:rPr>
      </w:pPr>
    </w:p>
    <w:p>
      <w:pPr>
        <w:ind w:left="540" w:right="200" w:firstLine="408"/>
        <w:spacing w:after="0" w:line="266" w:lineRule="auto"/>
        <w:tabs>
          <w:tab w:leader="none" w:pos="12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Exposure of such Defaulting Lender is reallocated pursuant to clause (A) above, then the fees payable to the Lenders pursuant to Sections 2.10(a) and 2.10(b) shall be adjusted in accordance with the amounts of such LC Exposure allocated to the non-Defaulting Lenders; and</w:t>
      </w:r>
    </w:p>
    <w:p>
      <w:pPr>
        <w:spacing w:after="0" w:line="67" w:lineRule="exact"/>
        <w:rPr>
          <w:rFonts w:ascii="Times New Roman" w:cs="Times New Roman" w:eastAsia="Times New Roman" w:hAnsi="Times New Roman"/>
          <w:sz w:val="18"/>
          <w:szCs w:val="18"/>
          <w:color w:val="auto"/>
        </w:rPr>
      </w:pPr>
    </w:p>
    <w:p>
      <w:pPr>
        <w:ind w:left="540" w:firstLine="408"/>
        <w:spacing w:after="0" w:line="255" w:lineRule="auto"/>
        <w:tabs>
          <w:tab w:leader="none" w:pos="121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that is subject to reallocation pursuant to clause (A) above is neither reallocated nor cash collateralized pursuant to clause (A) or (B) above, then, without prejudice to any rights or remedies of the Issuing Banks or any other Lender hereunder, all facility fees that otherwise would have been payable under Section 2.10(a) to such Defaulting Lender with respect to such portion of its LC Exposure, and all letter of credit fees payable under Section 2.10(b) with respect to such Defaulting Lender’s LC Exposure shall be payable to the Issuing Banks (and allocated among them ratably based on the amount of such portion of the LC Exposure of such Defaulting Lender attributable to Letters of Credit issued by each Issuing Bank) until and to the extent that such LC Exposure is reallocated and/or cash collateralized.</w:t>
      </w:r>
    </w:p>
    <w:p>
      <w:pPr>
        <w:spacing w:after="0" w:line="80" w:lineRule="exact"/>
        <w:rPr>
          <w:rFonts w:ascii="Times New Roman" w:cs="Times New Roman" w:eastAsia="Times New Roman" w:hAnsi="Times New Roman"/>
          <w:sz w:val="18"/>
          <w:szCs w:val="18"/>
          <w:color w:val="auto"/>
        </w:rPr>
      </w:pPr>
    </w:p>
    <w:p>
      <w:pPr>
        <w:ind w:right="180" w:firstLine="419"/>
        <w:spacing w:after="0" w:line="258" w:lineRule="auto"/>
        <w:tabs>
          <w:tab w:leader="none" w:pos="6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Lender is a Defaulting Lender, no Issuing Bank shall be required to issue, amend or extend any Letter of Credit under a Tranche in which such Lender has a Commitment unless it is reasonably satisfied that such Defaulting Lender’s LC Exposure will be 100% reallocated to the non-Defaulting Lenders and/or cash collateralized as provided above, and participating interests in any newly issued or increased Letter of Credit shall be allocated among non-Defaulting Lenders of the applicable Tranche in a manner consistent with paragraph (a) (iv)(A) of this Section (and such Defaulting Lender shall not participate therein).</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 Bankruptcy Event with respect to a parent entity of any Lender shall occur following the Effective Date and for so long as such event shall continue or (ii) an Issuing Bank has a good faith belief that any Lender has defaulted in fulfilling its obligations under one or more other agreements in which such Lender commits to extend credit, such Issuing Bank shall not be required to issue, amend or increase any Letter of Credit unless such Issuing Bank, as the case may be, shall have entered into arrangements with the Borrowers or such Lender, reasonably satisfactory to such Issuing Bank to eliminate any risk to it in respect of such Lender hereunder.</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40"/>
          </w:cols>
          <w:pgMar w:left="880" w:top="270" w:right="479" w:bottom="1440" w:gutter="0" w:footer="0" w:header="0"/>
        </w:sectPr>
      </w:pPr>
    </w:p>
    <w:bookmarkStart w:id="86" w:name="page87"/>
    <w:bookmarkEnd w:id="86"/>
    <w:p>
      <w:pPr>
        <w:ind w:left="440" w:firstLine="419"/>
        <w:spacing w:after="0" w:line="254"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Agent, the Company and each Issuing Bank shall agree that a Defaulting Lender has adequately remedied all matters that caused such Lender to be a Defaulting Lender, then the LC Exposures of the Lenders shall be readjusted to reflect the inclusion of such Lender’s Commitments and on such date such Lender shall purchase at par such of the Tranche One Loans and/or Tranche Two Loans of the other Lenders, and such funded participations in LC Disbursements, as the Agent shall determine to be necessary in order for the Lenders to hold such Loans and funded participations in accordance with their applicable Tranche Percentages, and such Lender shall thereupon cease to be a Defaulting Lender (but shall not be entitled to receive any fees accrued during the period when it was a Defaulting Lender, and all amendments, waivers or modifications effected without its consent in accordance with the provisions of Section 9.04 and this Section during such period shall be binding on it).</w:t>
      </w:r>
    </w:p>
    <w:p>
      <w:pPr>
        <w:spacing w:after="0" w:line="83"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1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remedies against, and with respect to, a Defaulting Lender under this Section 2.20 are in addition to, and cumulative and not in limitation of, all other rights and remedies that the Agent and each Lender, each Issuing Bank, the Company or any other Borrower may at any time have against, or with respect to, such Defaulting Lender.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Extension of Maturity Date.</w:t>
      </w:r>
      <w:r>
        <w:rPr>
          <w:rFonts w:ascii="Times New Roman" w:cs="Times New Roman" w:eastAsia="Times New Roman" w:hAnsi="Times New Roman"/>
          <w:sz w:val="18"/>
          <w:szCs w:val="18"/>
          <w:color w:val="auto"/>
        </w:rPr>
        <w:t xml:space="preserve"> (a) The Company may, up to two times after the Effective Date, by written notice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Notice</w:t>
      </w:r>
      <w:r>
        <w:rPr>
          <w:rFonts w:ascii="Times New Roman" w:cs="Times New Roman" w:eastAsia="Times New Roman" w:hAnsi="Times New Roman"/>
          <w:sz w:val="18"/>
          <w:szCs w:val="18"/>
          <w:color w:val="auto"/>
        </w:rPr>
        <w:t>”) delivered to the Agent, request an extension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of the Maturity Date to a date no later than the first anniversary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then existing Maturity Date (such existing Maturity Date, the “</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 more than a single Extension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effected in any period of 12 consecutive months and, after giving effect thereto, the Maturity Date may not be more than five years after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Closing Date.</w:t>
      </w:r>
    </w:p>
    <w:p>
      <w:pPr>
        <w:spacing w:after="0" w:line="99" w:lineRule="exact"/>
        <w:rPr>
          <w:sz w:val="20"/>
          <w:szCs w:val="20"/>
          <w:color w:val="auto"/>
        </w:rPr>
      </w:pPr>
    </w:p>
    <w:p>
      <w:pPr>
        <w:ind w:left="440" w:firstLine="419"/>
        <w:spacing w:after="0" w:line="253"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promptly furnish a copy of each Extension Notice to each Lender, and shall request that each Lender advise the Agent whether or not such Lender agrees to the requested Extension within 20 days of delivery to such Lender of such Extension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that does not advise the Agent by the 20th day after the date of such Extension Notice shall be deemed to have declined the requested Extension (each Lender agreeing to the requested Extension being called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and each Lender declining or deemed to have declined to agree to the requested Extension being called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The decision to agree or withhold agreement to any Extension hereunder shall be at the sole discretion of each Lender. If Lenders constituting not less than the Required Lenders shall have agreed to extend the Maturity Date before the anniversary of the Effective Date immediately following the delivery of the applicable Extension Notice, then, effective as of the Extension Closing Date with respect thereto, the Maturity Date applicable to the Extending Lenders shall be the first anniversary of the Existing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extension of the Maturity Date pursuant to this Section 2.21 shall become effective unless (the first date on which such consent of the Required Lenders is obtained and the conditions specified in this proviso are satisfied with respect to the applicable Extension being called the “</w:t>
      </w:r>
      <w:r>
        <w:rPr>
          <w:rFonts w:ascii="Times New Roman" w:cs="Times New Roman" w:eastAsia="Times New Roman" w:hAnsi="Times New Roman"/>
          <w:sz w:val="18"/>
          <w:szCs w:val="18"/>
          <w:u w:val="single" w:color="auto"/>
          <w:color w:val="auto"/>
        </w:rPr>
        <w:t>Extension Closing Date</w:t>
      </w:r>
      <w:r>
        <w:rPr>
          <w:rFonts w:ascii="Times New Roman" w:cs="Times New Roman" w:eastAsia="Times New Roman" w:hAnsi="Times New Roman"/>
          <w:sz w:val="18"/>
          <w:szCs w:val="18"/>
          <w:color w:val="auto"/>
        </w:rPr>
        <w:t>”) on the applicable Extension Closing Date, the Agent shall have received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dated as of the Extension Closing Date and executed by a Financial Officer of the Company, to the effect that the conditions set forth in Sections 4.02(b) and 4.02(c) shall be satisfied (with all references in such Sections to a Borrowing being deemed to be references to such extension and without giving effect to the parenthetical in Section 4.02(c)). The Commitment of each Non-Extending Lender shall terminate on the Existing Maturity Date, and the principal amount of any outstanding Loans made by such Non-Extending Lender, together with any accrued interest thereon, and any accrued fees and other amounts payable to or for the account of such Non-Extending Lender hereunder shall be due and payable on the Existing Maturity Date. Notwithstanding the foregoing provisions of this paragraph, the terms “Availability Period” and “Maturity Date” (without taking into consideration any extension pursuant to this Section 2.21), as such terms are used in reference to any Issuing Bank or any Letters of Credit issued by such Issuing Bank, may not be extended without the prior written consent of such Issuing Bank (it being understood and agreed that in the event any Issuing Bank shall not have consented to any Extension, (1) such Issuing Bank shall continue to have all the rights and obligations of an Issuing Bank hereunder through the applicable Existing Maturity Date (or the Availability Period determined on the basis thereof, as applicable), and thereafter shall have no obligation to issue, amend or extend any Letter of Credit (but shall, in each case, continue to be entitled to the benefits of Sections 2.04, 2.13, 2.15, 2.18 and 9.03 as to Letters of Credit issued prior to such time), and (2) the Borrowers shall cause the LC Exposure attributable to Letters of Credit issued by such Issuing Bank to be zero no later than the day on which such LC Exposure would have been required to have been reduced to zero in accordance with the terms hereof without giving effect to the effectiveness of the extension of the applicable Existing Maturity Date pursuant to this paragraph (and in any event, no later than such Existing Maturity Date)).</w:t>
      </w:r>
    </w:p>
    <w:p>
      <w:pPr>
        <w:spacing w:after="0" w:line="18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Notwithstanding the foregoing provisions of this Article II, if, after the Effective Date, the adoption or taking effect of any applicable law, rule or regulation, or any change in any applicable law, rule or regulation, or any change in the implementation, interpretation or administration thereof by any Governmental Authority charged with the implementation, interpretation or administration thereof, or compliance by any Lender (or its applicable lending office) with any request, rule, guideline or directive (whether or not having the force of law) of any such Governmental Authority shall make it unlawful or impossible for any Lender (or its applicable lending office) to make, maintain or fund its Term Benchmark Loans or RFR Loans or for any Issuing Bank to issue Letters of Credit, in any currency and such Lender or Issuing Bank shall so notify the Agent, the Agent shall forthwith give notice thereof to the other Lenders and the Company, whereupon until such Lender or Issuing Bank notifies the Company and the Agent that the circumstances giving rise to such suspension no longer exist (which such Lender or Issuing Bank agrees to do promptly upon becoming aware that such circumstances no longer exist), the obligation of such Lender to make Term Benchmark Loans or RFR Loans, as the case may be, or of such Issuing Bank to issue Letters of Credit in such currency shall be suspended. Before giving any notice to the Agent pursuant to this Section, any such Lender shall designate a different applicable lending office if such designation will avoid the need for giving such notice and will not, in the judgment of such Lender, be otherwise disadvantageous to such Lender. If any such Lender shall determine that it may not lawfully continue to maintain and fund any of its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440" w:top="270" w:right="439" w:bottom="1440" w:gutter="0" w:footer="0" w:header="0"/>
        </w:sectPr>
      </w:pPr>
    </w:p>
    <w:bookmarkStart w:id="88" w:name="page89"/>
    <w:bookmarkEnd w:id="8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Term Benchmark Loans or RFR Loans to maturity and shall so specify in such notice, the applicable Borrowers shall immediately prepay in full the then outstanding principal amount of each such Term Benchmark Loan or RFR Loan, as the case may be, together with accrued interest thereon. Concurrently with prepaying each such Term Benchmark Loan or RFR Loan, as the case may be, each such Borrower shall borrow an ABR Loan in an equal principal amount from such Lender (on which interest and principal shall be payable contemporaneously with the related Term Benchmark Loans or RFR Loans, as the case may be, of the other Lenders), and such Lender shall make such an ABR Loan.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represents and warrants that:</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Company and each Borrowing Subsidiary (a) is duly organized, validly existing and in good standing under the laws of its jurisdiction of organization and (b) has all corporate powers and all governmental licenses, authorizations, consents and approvals required to carry on its business as now conducted, except, in the case of this clause (b), to the extent that failure to do so would not, individually or in the aggregate, reasonably be expected to have a Material Adverse Effect.</w:t>
      </w:r>
    </w:p>
    <w:p>
      <w:pPr>
        <w:spacing w:after="0" w:line="180"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and Governmental Authorization; No Contravention</w:t>
      </w:r>
      <w:r>
        <w:rPr>
          <w:rFonts w:ascii="Times New Roman" w:cs="Times New Roman" w:eastAsia="Times New Roman" w:hAnsi="Times New Roman"/>
          <w:sz w:val="18"/>
          <w:szCs w:val="18"/>
          <w:color w:val="auto"/>
        </w:rPr>
        <w:t>. The execution, delivery and performance by each Borrower of this Agreement and each other Loan Document to which it is a party (a) are within such Borrower’s corporate powers, (b) have been duly authorized by all necessary corporate action, (c) require no action by or in respect of, or filing with, any Governmental Authority, except the filings under the Securities Exchange Act of 1934, as amended, (d) do not contravene, or constitute a default under, any provision of (i) applicable law or regulation, (ii) the certificate of incorporation, by-laws or other organizational document of the Company or any Borrowing Subsidiary or (iii) any agreement, judgment, injunction, order, decree or other instrument binding upon the Company or any of its Subsidiaries or (e) result in the creation or imposition of any Lien on any asset of the Company or any of its Subsidiaries, except, in the case of clauses (c), (d)(i) and (d)(iii), to the extent that failure to do so would not, individually or in the aggregate, reasonably be expected to have a Material Adverse Effect.</w:t>
      </w:r>
    </w:p>
    <w:p>
      <w:pPr>
        <w:spacing w:after="0" w:line="19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each other Loan Document to which it is a party has been duly executed and delivered by each Borrower and constitutes a valid and binding agreement of each Borrower, enforceable against it in accordance with its terms, subject to applicable bankruptcy, insolvency, reorganization, moratorium or other laws affecting creditors’ rights generally and to general principles of equity, regardless of whether considered in a proceeding in equity or at law.</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89" w:name="page90"/>
    <w:bookmarkEnd w:id="89"/>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Information; No Material Adverse Change</w:t>
      </w:r>
      <w:r>
        <w:rPr>
          <w:rFonts w:ascii="Times New Roman" w:cs="Times New Roman" w:eastAsia="Times New Roman" w:hAnsi="Times New Roman"/>
          <w:sz w:val="18"/>
          <w:szCs w:val="18"/>
          <w:color w:val="auto"/>
        </w:rPr>
        <w:t>. (a) The consolidated balance sheet of the Company and its Consolidated Subsidiaries as of December 31, 2025, and the related consolidated statements of operations, stockholders’ equity and cash flows for the fiscal year then ended, reported on by PricewaterhouseCoopers LLP and included in the Company’s Annual Report on Form 10-K for the fiscal year ended December 31, 2025, a copy of which has been heretofore made available to each of the Lenders, present fairly, in all material respects, the consolidated financial position of the Company and its Consolidated Subsidiaries as of such date and their consolidated results of operations and cash flows for such fiscal year, in each case, in conformity with GAAP.</w:t>
      </w:r>
    </w:p>
    <w:p>
      <w:pPr>
        <w:spacing w:after="0" w:line="79" w:lineRule="exact"/>
        <w:rPr>
          <w:sz w:val="20"/>
          <w:szCs w:val="20"/>
          <w:color w:val="auto"/>
        </w:rPr>
      </w:pPr>
    </w:p>
    <w:p>
      <w:pPr>
        <w:ind w:left="440" w:right="30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there has been no material adverse change in the business, financial position or results of operations of the Company and its Consolidated Subsidiaries, considered as a whole.</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or proceeding pending against, or to the knowledge of the Company threatened against or affecting, the Company or any of its Subsidiaries before any court or arbitrator or any Governmental Authority in which there is a reasonable possibility of an adverse decision which would reasonably be expected to have a Material Adverse Effect or which in any manner draws into question the validity of this Agreement or any other Loan Document.</w:t>
      </w:r>
    </w:p>
    <w:p>
      <w:pPr>
        <w:spacing w:after="0" w:line="180"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Except to the extent that failure to so fulfill its obligations or be in compliance would not, individually or in the aggregate, be reasonably expected to have a Material Adverse Effect, each member of the ERISA Group has fulfilled its obligations under the minimum funding standards of ERISA and the Internal Revenue Code with respect to each Plan and is in compliance in all material respects with the presently applicable provisions of ERISA and the Internal Revenue Code with respect to each Plan. No member of the ERISA Group has (a) sought a waiver of the minimum funding standard under Section 412 of the Internal Revenue Code in respect of any Plan, (b) failed to make any required contribution or payment to any Plan or Multiemployer Plan or in respect of any Benefit Arrangement, or made any amendment to any Plan or Benefit Arrangement, which has resulted or, solely as a result of the passage of time, could result in the imposition of a Lien or the posting of a bond or other security under Sections 302(f) or 307 of ERISA or Sections 412(n) or 401(a)(29) of the Internal Revenue Code (or any successor provisions thereto) or (c) incurred any liability under Title IV of ERISA other than a liability to the PBGC for premiums under Section 4007 of ERISA if such action, failure or incurrence would, individually or in the aggregate, reasonably be expected to have a Material Adverse Effect.</w:t>
      </w:r>
    </w:p>
    <w:p>
      <w:pPr>
        <w:spacing w:after="0" w:line="19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(a) In the ordinary course of its business, the Company reviews, or causes its Subsidiaries to review, the effect of Environmental Laws on the business, operations and properties of the Company and its Subsidiaries. On the basis of this review, the Company has reasonably concluded that any associated liabilities and costs, as identified and evaluated by the Company in accordance with GAAP, including the costs of compliance with Environmental Laws, any capital or operating expenditures required for clean-up or closure of their properties, any capital or operating expenditures required to achieve or maintain compliance with environmental protection standards imposed by law or as a condition of any license, permit or contract, any periodic or permanent shutdown of any facility or reduction in the level of or change in the nature of operations conducted thereat, any costs or liabilities in connection with on or off-site disposal of wastes or Hazardous Substances, and any liabilities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parties, including employees, and any related costs and expenses, are unlikely to have a Material Adverse Effect and (b) none of the Company or its Subsidiaries has (i) failed to comply with, or to obtain and comply with any permit required under, any applicable Environmental Law or (ii) become subject to any liability, contingent or otherwise, under any applicable Environmental Law, except in the case of clauses (i) and (ii), for any matters that would not, individually or in the aggregate, be reasonably expected to have a Material Adverse Effect.</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have filed all United States Federal income tax returns and all other material tax returns which are required to be filed by them and have paid all Taxes due pursuant to such returns or pursuant to any assessment received by the Company or any Subsidiary, except (a) where the failure to pay such Taxes would not, individually or in the aggregate, be reasonably expected to have a Material Adverse Effect and (b) assessments currently being contested in good faith by appropriate proceedings. The charges, accruals and reserves on the books of the Company and its Subsidiaries in respect of Taxes or other governmental charges are, in the opinion of the Company, adequate.</w:t>
      </w:r>
    </w:p>
    <w:p>
      <w:pPr>
        <w:spacing w:after="0" w:line="183"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Material Subsidiaries has all corporate powers and all material governmental licenses, authorizations, consents and approvals required to carry on its business as now conducted, except to the extent that failure to do so would not, individually or in the aggregate, be reasonably expected to have a Material Adverse Effect.</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Not an Investment Company</w:t>
      </w:r>
      <w:r>
        <w:rPr>
          <w:rFonts w:ascii="Times New Roman" w:cs="Times New Roman" w:eastAsia="Times New Roman" w:hAnsi="Times New Roman"/>
          <w:sz w:val="18"/>
          <w:szCs w:val="18"/>
          <w:color w:val="auto"/>
        </w:rPr>
        <w:t>. No Borrower is an “investment company” within the meaning of the Investment Company Act of 1940, as amended.</w:t>
      </w:r>
    </w:p>
    <w:p>
      <w:pPr>
        <w:spacing w:after="0" w:line="162" w:lineRule="exact"/>
        <w:rPr>
          <w:sz w:val="20"/>
          <w:szCs w:val="20"/>
          <w:color w:val="auto"/>
        </w:rPr>
      </w:pPr>
    </w:p>
    <w:p>
      <w:pPr>
        <w:ind w:right="6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3.11. </w:t>
      </w:r>
      <w:r>
        <w:rPr>
          <w:rFonts w:ascii="Times New Roman" w:cs="Times New Roman" w:eastAsia="Times New Roman" w:hAnsi="Times New Roman"/>
          <w:sz w:val="17"/>
          <w:szCs w:val="17"/>
          <w:u w:val="single" w:color="auto"/>
          <w:color w:val="auto"/>
        </w:rPr>
        <w:t>Full Disclosure</w:t>
      </w:r>
      <w:r>
        <w:rPr>
          <w:rFonts w:ascii="Times New Roman" w:cs="Times New Roman" w:eastAsia="Times New Roman" w:hAnsi="Times New Roman"/>
          <w:sz w:val="17"/>
          <w:szCs w:val="17"/>
          <w:color w:val="auto"/>
        </w:rPr>
        <w:t>. All information furnished by any Borrower to the Agent or any Lender for purposes of or in connection with the Loan Documents or any transaction contemplated hereby is, and all such information hereafter furnished by any Borrower to the Agent or any Lender will be, when taken as a whole (and as updated or supplemented by other information theretofore furnished), true and accurate in all material respects on the date as of which such information is stated or certified. The Company has disclosed to the Lenders in writing any and all facts which materially and adversely affect or may affect (to the extent the Company can now reasonably foresee), the business, operations or financial condition of the Company and its Consolidated Subsidiaries, taken as a whole, or the ability of any Borrower to perform its obligations under the Loan Documents.</w:t>
      </w:r>
    </w:p>
    <w:p>
      <w:pPr>
        <w:spacing w:after="0" w:line="173" w:lineRule="exact"/>
        <w:rPr>
          <w:sz w:val="20"/>
          <w:szCs w:val="20"/>
          <w:color w:val="auto"/>
        </w:rPr>
      </w:pPr>
    </w:p>
    <w:p>
      <w:pPr>
        <w:ind w:right="4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u w:val="single" w:color="auto"/>
          <w:color w:val="auto"/>
        </w:rPr>
        <w:t>Federal Reserve Regulations.</w:t>
      </w:r>
      <w:r>
        <w:rPr>
          <w:rFonts w:ascii="Times New Roman" w:cs="Times New Roman" w:eastAsia="Times New Roman" w:hAnsi="Times New Roman"/>
          <w:sz w:val="17"/>
          <w:szCs w:val="17"/>
          <w:color w:val="auto"/>
        </w:rPr>
        <w:t xml:space="preserve"> None of the Company or any its Subsidiaries is engaged or will engage, principally or as one of its important activities, in the business of purchasing or carrying “margin stock” (within the meaning of Regulation U) or extending credit for the purpose of purchasing or carrying margin stock. No part of the proceeds of the Loans will be used, directly or indirectly, for any purpose that entails a violation (including on the part of any Lender) of any of the regulations of the Board of Governors, including Regulations U and X. Not more than 25% of the value of the assets subject to any restrictions on the sale, pledge or other disposition of assets under this Agreement, any other Loan Document or any other agreement to which any Lender or Affiliate of a Lender is party will at any time be represented by margin stock (within such meaning).</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1" w:name="page92"/>
    <w:bookmarkEnd w:id="91"/>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has implemented and maintains in effect and enforces policies and procedures designed to ensure compliance by the Company, its Subsidiaries and their respective directors, officers and employees with applicable Anti-Corruption Laws and applicable Sanctions, and the Company, its Subsidiaries and their respective officers and directors and, to the knowledge of the Company, their respective employees are in compliance with Anti-Corruption Laws and applicable Sanctions in all material respects. None of the Company, any Subsidiary or, to the knowledge of the Company or any Subsidiary, any of their respective directors, officers or employees is a Sanctioned Person.</w:t>
      </w:r>
    </w:p>
    <w:p>
      <w:pPr>
        <w:spacing w:after="0" w:line="200" w:lineRule="exact"/>
        <w:rPr>
          <w:sz w:val="20"/>
          <w:szCs w:val="20"/>
          <w:color w:val="auto"/>
        </w:rPr>
      </w:pPr>
    </w:p>
    <w:p>
      <w:pPr>
        <w:spacing w:after="0" w:line="20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CONDITIONS</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as provided in Section 9.08, subject to the satisfaction of the following conditions: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The Agent shall have received the following documents, each dated the Effective Date unless otherwise indicated:</w:t>
      </w:r>
    </w:p>
    <w:p>
      <w:pPr>
        <w:spacing w:after="0" w:line="117" w:lineRule="exact"/>
        <w:rPr>
          <w:sz w:val="20"/>
          <w:szCs w:val="20"/>
          <w:color w:val="auto"/>
        </w:rPr>
      </w:pPr>
    </w:p>
    <w:p>
      <w:pPr>
        <w:ind w:left="440" w:right="360" w:firstLine="419"/>
        <w:spacing w:after="0" w:line="282" w:lineRule="auto"/>
        <w:tabs>
          <w:tab w:leader="none" w:pos="107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Ivonne M. Cabrera, General Counsel for the Company, covering such matters relating to the transactions contemplated hereby as the Agent may reasonably request; and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certificates the Agent may reasonably request relating to the organization, existence and good standing of the Borrowers, the corporate authority for, and the authorization and validity of, each Loan Document and any other matters relevant hereto, all in form and substance satisfactory to the Agent.</w:t>
      </w:r>
    </w:p>
    <w:p>
      <w:pPr>
        <w:spacing w:after="0" w:line="68" w:lineRule="exact"/>
        <w:rPr>
          <w:sz w:val="20"/>
          <w:szCs w:val="20"/>
          <w:color w:val="auto"/>
        </w:rPr>
      </w:pPr>
    </w:p>
    <w:p>
      <w:pPr>
        <w:jc w:val="both"/>
        <w:ind w:left="440" w:right="140" w:firstLine="419"/>
        <w:spacing w:after="0" w:line="266" w:lineRule="auto"/>
        <w:tabs>
          <w:tab w:leader="none" w:pos="111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under the Existing Five-Year Credit Agreement and the Existing 364-Day Credit Agreement shall have been or shall simultaneously be terminated, any amounts outstanding or accrued for the accounts of the lenders thereunder shall have been paid in full and the Agent shall have received such evidence as it shall reasonably have requested as to the satisfaction of such conditions.</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76" w:lineRule="auto"/>
        <w:tabs>
          <w:tab w:leader="none" w:pos="110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and the Arrangers shall have received all fees and other amounts due and payable hereunder or pursuant to the commitment letter or fee letters entered into by any of them and the Company on or prior to the Effective Date, including, to the extent invoiced at least one</w:t>
      </w:r>
    </w:p>
    <w:p>
      <w:pPr>
        <w:ind w:left="440" w:hanging="4"/>
        <w:spacing w:after="0" w:line="255"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prior to the Closing Date, reimbursement or payment of all reasonable and documented out-of-pocket expenses (including the reasonable fees, charges and disbursements of Cravath, Swaine &amp; Moore LLP, counsel for the Arrangers and the Agent) required to be reimbursed or paid by the Borrowers hereunder, under any other Loan Document or under such commitment letter.</w:t>
      </w:r>
    </w:p>
    <w:p>
      <w:pPr>
        <w:spacing w:after="0" w:line="7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days prior to the Effective Date, the Lenders shall have received all documentation and other information required by bank regulatory authorities under applicable “know your customer” and anti-money laundering rules and regulations, including the USA Patriot Act, in each case, to the extent requested in writing (which may be by email) at least 10 days’ prior to the Effective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2" w:name="page93"/>
    <w:bookmarkEnd w:id="92"/>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shall promptly notify the Company and the Lenders of the Effective Date, and such notice shall be conclusive and binding on all parties hereto.</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any Lender to make a Loan on the occasion of any Borrowing, and the obligation of any Issuing Bank to issue, amend or extend any Letter of Credit, is subject to the satisfaction of the following conditions:</w:t>
      </w:r>
    </w:p>
    <w:p>
      <w:pPr>
        <w:spacing w:after="0" w:line="54" w:lineRule="exact"/>
        <w:rPr>
          <w:sz w:val="20"/>
          <w:szCs w:val="20"/>
          <w:color w:val="auto"/>
        </w:rPr>
      </w:pPr>
    </w:p>
    <w:p>
      <w:pPr>
        <w:ind w:left="440" w:right="60" w:firstLine="419"/>
        <w:spacing w:after="0" w:line="282" w:lineRule="auto"/>
        <w:tabs>
          <w:tab w:leader="none" w:pos="11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Agent of a Notice of Borrowing or by the applicable Issuing Bank and the Agent of a request for the issuance, amendment or extension of such Letter of Credit as required by Section 2.02 or 2.04, as applicable;</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such Borrowing or the issuance, amendment or extension of such Letter of Credit, no Default or Event of Default shall have occurred and be continuing; and</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Borrowers contained in this Agreement (except, after the Effective Date, the representations and warranties set forth in Sections 3.04(b) and 3.05) or in the applicable Borrowing Subsidiary Agreement shall be true and correct in all material respects (or in the case of such representations and warranties that are subject to a materiality qualification, in all respects) on and as of the date of such Borrowing or issuance, amendment or extension of such Letter of Credit, except to the extent that such representations and warranties specifically refer to an earlier date, in which case they shall be true and correct in all material respects (or in the case of such representations and warranties that are subject to a materiality qualification, in all respects) as of such earlier date.</w:t>
      </w:r>
    </w:p>
    <w:p>
      <w:pPr>
        <w:spacing w:after="0" w:line="18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Each Borrowing (other than any conversion or continuation of a Loan) and each issuance, amendment or extension of a Letter of Credit hereunder shall be deemed to be a representation and warranty by the applicable Borrower on the date of such Borrowing that the conditions specified in clauses (b) and (c) of this Section have been satisfied.</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Joinder of and Initial Credit Event for each Borrowing Subsidiary</w:t>
      </w:r>
      <w:r>
        <w:rPr>
          <w:rFonts w:ascii="Times New Roman" w:cs="Times New Roman" w:eastAsia="Times New Roman" w:hAnsi="Times New Roman"/>
          <w:sz w:val="18"/>
          <w:szCs w:val="18"/>
          <w:color w:val="auto"/>
        </w:rPr>
        <w:t>. The effectiveness of the designation of, obligation of each Lender to make initial Loans to, and the obligation of any Issuing Bank to issue any initial Letter of Credit to, any Borrowing Subsidiary is subject to the satisfaction of the following conditions:</w:t>
      </w:r>
    </w:p>
    <w:p>
      <w:pPr>
        <w:spacing w:after="0" w:line="68" w:lineRule="exact"/>
        <w:rPr>
          <w:sz w:val="20"/>
          <w:szCs w:val="20"/>
          <w:color w:val="auto"/>
        </w:rPr>
      </w:pPr>
    </w:p>
    <w:p>
      <w:pPr>
        <w:ind w:left="1100" w:hanging="241"/>
        <w:spacing w:after="0"/>
        <w:tabs>
          <w:tab w:leader="none" w:pos="11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such Borrowing Subsidiary’s Borrowing Subsidiary Agreement duly executed by all parties thereto.</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favorable written opinion of counsel for such Borrowing Subsidiary reasonably satisfactory to the Agent, substantially in the form of Exhibit F and covering such additional matters relating to such Borrowing Subsidiary, the transactions contemplated hereby or its Borrowing Subsidiary Agreement as the Agent may reasonably request.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3" w:name="page94"/>
    <w:bookmarkEnd w:id="93"/>
    <w:p>
      <w:pPr>
        <w:ind w:left="440" w:firstLine="419"/>
        <w:spacing w:after="0" w:line="258" w:lineRule="auto"/>
        <w:tabs>
          <w:tab w:leader="none" w:pos="11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shall have received all documents and certificates the Agent may reasonably request relating to the organization, existence and good standing of such Borrowing Subsidiary, the corporate authority for, and the authorization of the transactions contemplated hereby as they relate to such Borrowing Subsidiary, the financial condition of such Borrowing Subsidiary and any other matters relevant hereto, and any other legal matters relating to such Borrowing Subsidiary, its Borrowing Subsidiary Agreement or such transactions, all in form and substance satisfactory to the Agent.</w:t>
      </w:r>
    </w:p>
    <w:p>
      <w:pPr>
        <w:spacing w:after="0" w:line="75"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(i) all documentation and other information required by bank regulatory authorities under applicable “know your customer” and anti-money laundering rules and regulations, including the USA Patriot Act, and (ii) a Beneficial Ownership Certification from such Borrowing Subsidiary if it is a “legal entity customer” under the Beneficial Ownership Regulation.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The Company agrees that, so long as the Commitments shall remain in effect, or any Letter of Credit shall remain outstanding, or the principal of or interest on any Loan or LC Disbursement, any fees or any other expenses or amounts payable hereunder or under any other Loan Document shall be unpaid:</w:t>
      </w:r>
    </w:p>
    <w:p>
      <w:pPr>
        <w:spacing w:after="0" w:line="68"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Company will deliver to the Agent, which will make available to each Lender in accordance with its customary practice:</w:t>
      </w:r>
    </w:p>
    <w:p>
      <w:pPr>
        <w:spacing w:after="0" w:line="54" w:lineRule="exact"/>
        <w:rPr>
          <w:sz w:val="20"/>
          <w:szCs w:val="20"/>
          <w:color w:val="auto"/>
        </w:rPr>
      </w:pPr>
    </w:p>
    <w:p>
      <w:pPr>
        <w:ind w:left="440" w:right="20" w:firstLine="419"/>
        <w:spacing w:after="0" w:line="254"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90 days after the end of each fiscal year of the Company or, if earlier, within five days after the Company’s applicable deadline for the filing of its Annual Report on Form 10-K with the Securities and Exchange Commission, a consolidated balance sheet of the Company and its Consolidated Subsidiaries as of the end of such fiscal year and the related consolidated statements of operations, stockholders’ equity and cash flows for such fiscal year, setting forth in each case in comparative form the figures for the previous fiscal year (it being understood that the requirement to deliver such information shall be satisfied if the Company’s Annual Report on Form 10-K for such fiscal year containing such information is available on the website of the Securities and Exchange Commission at http://www.sec.gov), all reported on in a manner acceptable to the Securities and Exchange Commission (without a “going concern” opinion and without any qualification or exception as to the scope of such audit) by PricewaterhouseCoopers LLP or another independent registered public accounting firm of nationally recognized standing;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4" w:name="page95"/>
    <w:bookmarkEnd w:id="94"/>
    <w:p>
      <w:pPr>
        <w:ind w:firstLine="419"/>
        <w:spacing w:after="0" w:line="254"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available and in any event within 45 days after the end of each of the first three fiscal quarters of each fiscal year of the Company or, if earlier, within five days after the Company’s applicable deadline for the filing of its Quarterly Report on Form 10-Q with the Securities and Exchange Commission, a consolidated balance sheet of the Company and its Consolidated Subsidiaries as of the end of such quarter, the related consolidated statements of operations for such quarter and for the portion of the Company’s fiscal year ended at the end of such quarter and the related consolidated statements of cash flows for the portion of the Company’s fiscal year ended at the end of such quarter, setting forth in each case in comparative form the figures for the corresponding quarter and the corresponding portion of the Company’s previous fiscal year (it being understood that the requirement to deliver such information shall be satisfied if the Company’s Quarterly Report on Form 10-Q for such fiscal quarter containing such information is available on the website of the Securities and Exchange Commission at http://www.sec.gov), all presented and certified in accordance with rules and regulations of the Securities and Exchange Commission;</w:t>
      </w:r>
    </w:p>
    <w:p>
      <w:pPr>
        <w:spacing w:after="0" w:line="80"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applicable periods set forth under clauses (a) and (b) above, a certificate of the chief financial officer or the chief accounting officer of the Company (x) setting forth in reasonable detail the calculations required to establish whether the Company was in compliance with the requirements of Section 5.07 on the date of such financial statements and (y) stating whether any Default or Event of Default exists on the date of such certificate and, if any Default or Event of Default then exists, setting forth the details thereof and the action which the Company is taking or proposes to take with respect thereto;</w:t>
      </w:r>
    </w:p>
    <w:p>
      <w:pPr>
        <w:spacing w:after="0" w:line="75" w:lineRule="exact"/>
        <w:rPr>
          <w:rFonts w:ascii="Times New Roman" w:cs="Times New Roman" w:eastAsia="Times New Roman" w:hAnsi="Times New Roman"/>
          <w:sz w:val="18"/>
          <w:szCs w:val="18"/>
          <w:color w:val="auto"/>
        </w:rPr>
      </w:pPr>
    </w:p>
    <w:p>
      <w:pPr>
        <w:ind w:right="200" w:firstLine="419"/>
        <w:spacing w:after="0" w:line="266"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after any executive officer of the Company obtains actual knowledge of any Default or Event of Default, if such Default is then continuing, a certificate of the chief financial officer or the chief accounting officer of the Company setting forth the details thereof and the action which the Company is taking or proposes to take with respect thereto;</w:t>
      </w:r>
    </w:p>
    <w:p>
      <w:pPr>
        <w:spacing w:after="0" w:line="67" w:lineRule="exact"/>
        <w:rPr>
          <w:rFonts w:ascii="Times New Roman" w:cs="Times New Roman" w:eastAsia="Times New Roman" w:hAnsi="Times New Roman"/>
          <w:sz w:val="18"/>
          <w:szCs w:val="18"/>
          <w:color w:val="auto"/>
        </w:rPr>
      </w:pPr>
    </w:p>
    <w:p>
      <w:pPr>
        <w:ind w:right="300" w:firstLine="419"/>
        <w:spacing w:after="0" w:line="282" w:lineRule="auto"/>
        <w:tabs>
          <w:tab w:leader="none" w:pos="6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mailing thereof to the shareholders of the Company generally, copies of all financial statements, reports and proxy statements so mailed if not filed with the Securities and Exchange Commission electronically;</w:t>
      </w:r>
    </w:p>
    <w:p>
      <w:pPr>
        <w:spacing w:after="0" w:line="53" w:lineRule="exact"/>
        <w:rPr>
          <w:rFonts w:ascii="Times New Roman" w:cs="Times New Roman" w:eastAsia="Times New Roman" w:hAnsi="Times New Roman"/>
          <w:sz w:val="18"/>
          <w:szCs w:val="18"/>
          <w:color w:val="auto"/>
        </w:rPr>
      </w:pPr>
    </w:p>
    <w:p>
      <w:pPr>
        <w:ind w:right="40" w:firstLine="419"/>
        <w:spacing w:after="0" w:line="254" w:lineRule="auto"/>
        <w:tabs>
          <w:tab w:leader="none" w:pos="6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has been terminated, a copy of such notice; (iii) expects a Multiemployer Plan to be insolvent under Title IV of ERISA or in “endangered” or “critical” status (within the meaning of Section 432 of the Internal Revenue Code or Section 305 of ERISA), a certificate of the chief financial officer or the chief accounting officer of the Company setting forth details as to such occurrence and action, if any, which the Company or applicable member of the ERISA Group is required or proposes to take; (iv) determines that any Plan is, or is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560"/>
          </w:cols>
          <w:pgMar w:left="880" w:top="270" w:right="459" w:bottom="1440" w:gutter="0" w:footer="0" w:header="0"/>
        </w:sectPr>
      </w:pPr>
    </w:p>
    <w:bookmarkStart w:id="95" w:name="page96"/>
    <w:bookmarkEnd w:id="95"/>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expected to be, in “at-risk” status (within the meaning of Section 303(i)(4) of ERISA or Section 430(i)(4) of the Internal Revenue Code), a certificate of the chief financial officer or the chief accounting officer of the Company setting forth details as to such occurrence and action, if any, which the Company or applicable member of the ERISA Group is required or proposes to take; (v) receives notice from the PBGC under Title IV of ERISA of an intent to terminate, impose liability (other than for premiums under Section 4007 of ERISA) in respect of, or appoint a trustee to administer any Plan, a copy of such notice; (vi) applies for a waiver of the minimum funding standard under Section 412 of the Internal Revenue Code, a copy of such application; (vii) gives notice of intent to terminate any Plan under Section 4041(c) of ERISA, a copy of such notice and other information filed with the PBGC; (viii) gives notice of withdrawal from any Plan pursuant to Section 4063 of ERISA while such member is a “substantial employer” (within the meaning of such Section) with respect to such Plan, a copy of such notice; or (ix) fails to make any required payment or contribution to any Plan or Multiemployer Plan or in respect of any Benefit Arrangement, or makes any amendment to any Plan or Benefit Arrangement, which has resulted or, solely as a result of the passage of time, could result in the imposition of a Lien or the posting of a bond or other security under Sections 302(f) or 307 of ERISA or Sections 412(n) or 401(a)(29) of the Internal Revenue Code, or any successor provisions thereto, a certificate of the chief financial officer or the chief accounting officer of the Company setting forth details as to such occurrence and action, if any, which the Company or applicable member of the ERISA Group is required or proposes to take;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certificates from the chief financial officer or the chief accounting officer of the Company shall be required only if such occurrence or action is reasonably likely to have a material adverse effect on the business, consolidated financial position or consolidated results of operations of the Company and its Consolidated Subsidiaries, considered as a whole;</w:t>
      </w:r>
    </w:p>
    <w:p>
      <w:pPr>
        <w:spacing w:after="0" w:line="87" w:lineRule="exact"/>
        <w:rPr>
          <w:sz w:val="20"/>
          <w:szCs w:val="20"/>
          <w:color w:val="auto"/>
        </w:rPr>
      </w:pPr>
    </w:p>
    <w:p>
      <w:pPr>
        <w:ind w:right="460" w:firstLine="419"/>
        <w:spacing w:after="0" w:line="282"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Moody’s or S&amp;P shall have announced a change in the rating established or deemed to have been established for the Index Debt, written notice of such rating change;</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 request therefor, all documentation and other information that a Lender reasonably requests in order to comply with ongoing obligations under applicable “know your customer” and anti-money laundering rules and regulations, including the USA Patriot Act and the Beneficial Ownership Regulation; and</w:t>
      </w:r>
    </w:p>
    <w:p>
      <w:pPr>
        <w:spacing w:after="0" w:line="67" w:lineRule="exact"/>
        <w:rPr>
          <w:rFonts w:ascii="Times New Roman" w:cs="Times New Roman" w:eastAsia="Times New Roman" w:hAnsi="Times New Roman"/>
          <w:sz w:val="18"/>
          <w:szCs w:val="18"/>
          <w:color w:val="auto"/>
        </w:rPr>
      </w:pPr>
    </w:p>
    <w:p>
      <w:pPr>
        <w:ind w:right="100" w:firstLine="419"/>
        <w:spacing w:after="0" w:line="258" w:lineRule="auto"/>
        <w:tabs>
          <w:tab w:leader="none" w:pos="63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such additional information regarding the financial position or business of the Company and its Subsidiaries as the Agent, at the request of any Lender,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any Subsidiary shall be required to disclose any information (x) that constitutes non-financial trade secrets or non-financial proprietary information, (y) in respect of which disclosure to the Agent, any Lender or their agents or representatives is then prohibited by applicable law or any binding third-party agreement (not entered into in contemplation hereof) or (z) that is protected from disclosure by the attorney-client privilege or the attorney work product doctrine.</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80"/>
          </w:cols>
          <w:pgMar w:left="880" w:top="270" w:right="439" w:bottom="1440" w:gutter="0" w:footer="0" w:header="0"/>
        </w:sectPr>
      </w:pPr>
    </w:p>
    <w:bookmarkStart w:id="96" w:name="page97"/>
    <w:bookmarkEnd w:id="96"/>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Company will pay and discharge, and will cause each Subsidiary to pay and discharge, at or before maturity, all their respective material obligations and liabilities, including, without limitation, Tax liabilities, except where (a) the same may be contested in good faith by appropriate proceedings, so long as the Company or the applicable Subsidiary maintains, in accordance with GAAP, appropriate reserves for the accrual of any of the same or (b) the failure to do so would not, individually or in the aggregate, be reasonably expected to have a Material Adverse Effect.</w:t>
      </w:r>
    </w:p>
    <w:p>
      <w:pPr>
        <w:spacing w:after="0" w:line="183"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(a) The Company will keep, and will cause each Subsidiary to keep, all property useful and necessary in its business in good working order and condition, ordinary wear and tear excepted, except to the extent that the failure to do so would not, individually or in the aggregate, be reasonably expected to have a Material Adverse Effect.</w:t>
      </w:r>
    </w:p>
    <w:p>
      <w:pPr>
        <w:spacing w:after="0" w:line="68" w:lineRule="exact"/>
        <w:rPr>
          <w:sz w:val="20"/>
          <w:szCs w:val="20"/>
          <w:color w:val="auto"/>
        </w:rPr>
      </w:pPr>
    </w:p>
    <w:p>
      <w:pPr>
        <w:ind w:left="440" w:firstLine="419"/>
        <w:spacing w:after="0" w:line="258"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and will cause each of its Subsidiaries to, maintain (either in the name of the Company or in such Subsidiary’s own name) with financially sound and responsible insurance companies, insurance on all their respective properties in at least such amounts and against at least such risks (and with such risk retention) as are usually insured against in the same general area by companies of established repute engaged in the same or a similar business; and will furnish to the Lenders, upon request from the Agent, information presented in reasonable detail as to the insurance so carried.</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Conduct of Business and Maintenance of Existence</w:t>
      </w:r>
      <w:r>
        <w:rPr>
          <w:rFonts w:ascii="Times New Roman" w:cs="Times New Roman" w:eastAsia="Times New Roman" w:hAnsi="Times New Roman"/>
          <w:sz w:val="18"/>
          <w:szCs w:val="18"/>
          <w:color w:val="auto"/>
        </w:rPr>
        <w:t xml:space="preserve">. The Company will continue, and will cause each Subsidiary to continue, to engage in business of the same general type as now conducted by the Company and its Subsidiaries, and will preserve, renew and keep in full force and effect, and will cause each Subsidiary to preserve, renew and keep in full force and effect their respective corporate existence and their respective rights, privileges and franchises necessary or desirable in the normal conduct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5.04 shall prohibit (a) the merger or consolidation of a Subsidiary into the Company or a Borrowing Subsidiary (in the case of any such merger or consolidation involving a Borrowing Subsidiary that does not survive such merger or consolidation, subject to the surviving Person in such merger or consolidation delivering such assumption agreement and documents relating thereto as shall be reasonably requested by the Agent) or the merger or consolidation of a Subsidiary that is not a Borrowing Subsidiary with or into another Person (other than the Company or a Borrowing Subsidiary) and if, in each case, after giving effect thereto, no Default shall have occurred and be continuing, (b) the termination of the corporate existence, rights, privileges or franchises, or a change in the business of, any Subsidiary that is not a Borrowing Subsidiary if the Company in good faith determines that such termination or change is in the best interest of the Company and is not materially disadvantageous to the Lenders or (c) the termination of the corporate existence, rights, privileges or franchises, or other dissolution or winding up of any Subsidiary that is not a Borrowing Subsidiary, if all or substantially all of the assets of such Subsidiary are assigned, transferred, sold, or otherwise alienated to any entity which is also a Subsidiary.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7" w:name="page98"/>
    <w:bookmarkEnd w:id="97"/>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will comply, and cause each Subsidiary to comply, in all respects with all applicable laws, ordinances, rules, regulations, and requirements of Governmental Authorities (including, without limitation, Environmental Laws and ERISA and the rules and regulations thereunder) except where (a) the necessity of compliance therewith is contested in good faith by appropriate proceedings or (b) such failure would not, individually or in the aggregate, be reasonably expected to have a Material Adverse Effect. The Company will maintain in effect and enforce policies and procedures designed to ensure compliance by the Company, its Subsidiaries and their respective directors, officers and employees with applicable Anti-Corruption Laws and applicable Sanctions.</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 of Property, Books and Records</w:t>
      </w:r>
      <w:r>
        <w:rPr>
          <w:rFonts w:ascii="Times New Roman" w:cs="Times New Roman" w:eastAsia="Times New Roman" w:hAnsi="Times New Roman"/>
          <w:sz w:val="18"/>
          <w:szCs w:val="18"/>
          <w:color w:val="auto"/>
        </w:rPr>
        <w:t xml:space="preserve">. The Company will keep, and will cause each Subsidiary to keep, proper books of record and account in which full, true and correct in all material respects entries shall be made of all dealings and transactions in relation to its business and activities; and will permit, and will cause each Subsidiary to permit, representatives of the Agent at the Agent’s expense to visit and inspect any of their respective properties, to examine and make abstracts from any of their respective books and records and to discuss their respective affairs, finances and accounts with their respective officers, employees and independent registered public accounting firm, all at such reasonable times during normal business hours and as often as may reasonably be desired, upon reasonable advance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set forth in this Section 5.06, neither the Company nor any Subsidiary shall be required to disclose or discuss, or permit the inspection, examination or making of extracts of, any records, books, information or other matter (x) that constitutes non-financial trade secrets or non-financial proprietary information, (y) in respect of which disclosure to the Agent, any Lender or their agents or representatives is then prohibited by applicable law or any binding third-party agreement (not entered into in contemplation hereof) or (z) that is protected from disclosure by the attorney-client privilege or the attorney work product doctrine.</w:t>
      </w:r>
    </w:p>
    <w:p>
      <w:pPr>
        <w:spacing w:after="0" w:line="19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The Company will not permit the ratio of Consolidated EBITDA to Consolidated Net Interest Expense, for any period of four consecutive fiscal quarters commencing before or after the date hereof and ending after the date hereof, to be less than 3.00:1.00.</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Neither the Company nor any Subsidiary will create, assume or suffer to exist any Lien on any asset now owned or hereafter acquired by it, except:</w:t>
      </w:r>
    </w:p>
    <w:p>
      <w:pPr>
        <w:spacing w:after="0" w:line="54" w:lineRule="exact"/>
        <w:rPr>
          <w:sz w:val="20"/>
          <w:szCs w:val="20"/>
          <w:color w:val="auto"/>
        </w:rPr>
      </w:pPr>
    </w:p>
    <w:p>
      <w:pPr>
        <w:ind w:left="440" w:right="340" w:firstLine="419"/>
        <w:spacing w:after="0" w:line="282" w:lineRule="auto"/>
        <w:tabs>
          <w:tab w:leader="none" w:pos="11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securing Debt outstanding on the Effective Date in an aggregate principal amount not exceeding US$75,000,000;</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on any asset of any corporation or other Person at the time such corporation or other Person becomes a Subsidiary and not created in contemplation of such event;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asset securing Debt incurred or assumed for the purpose of financing all or any part of the cost of acquiring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attaches to such asset concurrently with or within 90 days after the acquisition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8" w:name="page99"/>
    <w:bookmarkEnd w:id="98"/>
    <w:p>
      <w:pPr>
        <w:ind w:left="440" w:right="10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on any asset of any corporation or other Person existing at the time such corporation or other Person is merged or consolidated with or into the Company or a Subsidiary and not created in contemplation of such event;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on any asset prior to the acquisition thereof by the Company or a Subsidiary and not created in contemplation of such acquisition;</w:t>
      </w:r>
    </w:p>
    <w:p>
      <w:pPr>
        <w:spacing w:after="0" w:line="53"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08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arising out of the refinancing, extension, renewal or refunding of any Debt secured by any Lien permitted by any of the foregoing clauses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not increased and is not secured by any additional assets;</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the ordinary course of its business which (i) do not secure Debt, (ii) do not secure any obligation in an amount exceeding US$150,000,000 and (iii) do not in the aggregate materially detract from the value of its assets or materially impair the use thereof in the operation of its business;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1" w:lineRule="auto"/>
        <w:tabs>
          <w:tab w:leader="none" w:pos="111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(including rights of set-off) on any deposit account, and the funds on deposit therein, maintained by any Foreign Subsidiary with any financial institution, and any Lien on any other cash or cash equivalents provided by any Foreign Subsidiary to any financial institution, in each case, created in connection with treasury management services, trade financing or other financing, in each case, provided by such financial institution or its Affiliates to such Foreign Subsidiary for the operation of such Foreign Subsidiary’s business in the ordinary course of business;</w:t>
      </w:r>
    </w:p>
    <w:p>
      <w:pPr>
        <w:spacing w:after="0" w:line="56" w:lineRule="exact"/>
        <w:rPr>
          <w:rFonts w:ascii="Times New Roman" w:cs="Times New Roman" w:eastAsia="Times New Roman" w:hAnsi="Times New Roman"/>
          <w:sz w:val="17"/>
          <w:szCs w:val="17"/>
          <w:color w:val="auto"/>
        </w:rPr>
      </w:pPr>
    </w:p>
    <w:p>
      <w:pPr>
        <w:ind w:left="440" w:firstLine="419"/>
        <w:spacing w:after="0" w:line="289" w:lineRule="auto"/>
        <w:tabs>
          <w:tab w:leader="none" w:pos="107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banker’s liens, rights of set-off or similar rights and remedies as to deposit accounts, and the funds on deposit therein, maintained with depository institutions;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deposit accounts or funds are not established or deposited for the purpose of providing collateral for any Debt and are not subject to restrictions on access by the Company or any Subsidiary in excess of those required by applicable banking regulations;</w:t>
      </w:r>
    </w:p>
    <w:p>
      <w:pPr>
        <w:spacing w:after="0" w:line="49" w:lineRule="exact"/>
        <w:rPr>
          <w:rFonts w:ascii="Times New Roman" w:cs="Times New Roman" w:eastAsia="Times New Roman" w:hAnsi="Times New Roman"/>
          <w:sz w:val="17"/>
          <w:szCs w:val="17"/>
          <w:color w:val="auto"/>
        </w:rPr>
      </w:pPr>
    </w:p>
    <w:p>
      <w:pPr>
        <w:ind w:left="440" w:right="20" w:firstLine="419"/>
        <w:spacing w:after="0" w:line="282"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from Capital Leases incurred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extends solely to the assets that are the subject of the applicable Capital Lease; and</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otherwise permitted by the foregoing clauses of this Section securing Debt in an aggregate principal amount at any time outstanding not to exceed 10% of Consolidated Net Worth.</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Consolidations, Mergers and Sales of Assets</w:t>
      </w:r>
      <w:r>
        <w:rPr>
          <w:rFonts w:ascii="Times New Roman" w:cs="Times New Roman" w:eastAsia="Times New Roman" w:hAnsi="Times New Roman"/>
          <w:sz w:val="18"/>
          <w:szCs w:val="18"/>
          <w:color w:val="auto"/>
        </w:rPr>
        <w:t xml:space="preserve">. (a) The Company and its Subsidiaries will not (i) consolidate or merge with or into any other Person (other than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any such merger or consolidation involving the Company, the Company shall be the surviving Person in such merger or consolidation and (B) in any such merger or consolidation involving a Borrowing Subsidiary, either (x) such Borrowing Subsidiary shall be the surviving Person in such merger or consolidation or (y) the surviving Person in such merger or consolidation shall be the Company or another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9" w:name="page100"/>
    <w:bookmarkEnd w:id="9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Borrowing Subsidiary and such surviving Person shall deliver such assumption agreement and documents relating thereto as shall be reasonably requested by the Agent), except as expressly permitted by Section 5.04, or (ii) sell, lease or otherwise transfer, directly or indirectly (including through a merger or consolidation, and whether in one transaction or in a series of transactions), all or a substantial part of the assets (other than inventory sold in the ordinary course of business) of the Company and its Subsidiaries, taken as a whole, other than to the Company and its Subsidiaries. For purposes of this Section, a substantial part of the assets of the Company and its Subsidiaries, taken as a whole, shall mean 20% or more of the consolidated total assets of the Company and its Consolidated Subsidiaries.</w:t>
      </w:r>
    </w:p>
    <w:p>
      <w:pPr>
        <w:spacing w:after="0" w:line="79" w:lineRule="exact"/>
        <w:rPr>
          <w:sz w:val="20"/>
          <w:szCs w:val="20"/>
          <w:color w:val="auto"/>
        </w:rPr>
      </w:pPr>
    </w:p>
    <w:p>
      <w:pPr>
        <w:ind w:left="440" w:right="80" w:firstLine="419"/>
        <w:spacing w:after="0" w:line="256"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permit any Borrowing Subsidiary to cease to be a Subsidiary of the Company, unless, substantially concurrently therewith, (i) the Company shall have executed and delivered to the Agent a Borrowing Subsidiary Termination with respect to such Borrowing Subsidiary, (ii) any principal of or interest on any Loan to such Borrowing Subsidiary shall be prepaid in full and (iii) in the event any Letter of Credit shall be issued and outstanding for the account of such Borrowing Subsidiary, the Company shall have agreed to be the applicant with respect to each such Letter of Credit and to be responsible for all LC Disbursements thereunder and other amounts relating thereto pursuant to an assumption agreement reasonably satisfactory to the Agent.</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 xml:space="preserve"> The proceeds of the Loans and the Letters of Credit will be used only for working capital and general corporate purposes of the Company and its Subsidiaries. No part of the proceeds of any Loan will be used, directly or indirectly, for any purpose that entails a violation of any of the regulations of the Board of Governors, including Regulations U and X. The Company shall not directly or, to its knowledge, indirectly use, and shall procure that its Subsidiaries and its or their respective directors, officers, employees and agents shall not directly or, to the knowledge of the Company or its Subsidiaries, indirectly use, the proceeds of any Borrowing or any Letter of Credit (a) in furtherance of an offer, payment, promise to pay, or authorization of the payment or giving of money, or anything else of value, to any Person in violation of any applicable Anti-Corruption Laws, or (b) for the purpose of funding or financing any activities, business or transaction of or with any Sanctioned Person or in any Sanctioned Country.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one or more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have occurred and be continuing:</w:t>
      </w:r>
    </w:p>
    <w:p>
      <w:pPr>
        <w:spacing w:after="0" w:line="117" w:lineRule="exact"/>
        <w:rPr>
          <w:sz w:val="20"/>
          <w:szCs w:val="20"/>
          <w:color w:val="auto"/>
        </w:rPr>
      </w:pPr>
    </w:p>
    <w:p>
      <w:pPr>
        <w:ind w:left="440" w:right="40" w:firstLine="419"/>
        <w:spacing w:after="0" w:line="266" w:lineRule="auto"/>
        <w:tabs>
          <w:tab w:leader="none" w:pos="11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on any Loan or any LC Disbursement for a period of more than two Business Days after the same shall become due or (ii) any interest on any Loan or any fees or any other amount payable hereunder or under any other Loan Document for a period of more than five Business Days after the same shall become due;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60"/>
          </w:cols>
          <w:pgMar w:left="440" w:top="270" w:right="499" w:bottom="1440" w:gutter="0" w:footer="0" w:header="0"/>
        </w:sectPr>
      </w:pPr>
    </w:p>
    <w:bookmarkStart w:id="100" w:name="page101"/>
    <w:bookmarkEnd w:id="100"/>
    <w:p>
      <w:pPr>
        <w:ind w:right="40" w:firstLine="419"/>
        <w:spacing w:after="0" w:line="266" w:lineRule="auto"/>
        <w:tabs>
          <w:tab w:leader="none" w:pos="6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Borrower shall fail to observe or perform any covenant contained in Section 5.04 (with respect to existence of the Company and each Borrowing Subsidiary), Sections 5.07 to 5.10, inclusive, or Section 5.01(d) (but only so long as the Default or Event of Default referred to in Section 5.01(d) is continuing);</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observe or perform any covenant or agreement contained in any Loan Document (other than those covered by clause (a) or (b) above) for 10 days after written notice thereof has been given to such Borrower, or the Company on its behalf, by the Agent at the request of any Lender;</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certification or statement made (or deemed made) by any Borrower in this Agreement or by any other Borrower in the applicable Borrowing Subsidiary Agreement or in any certificate, financial statement or other document delivered pursuant to this Agreement shall prove to have been incorrect in any material respect when made (or deemed made);</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shall fail to make any payment in respect of any Material Debt when due, giving effect to any applicable grace period;</w:t>
      </w:r>
    </w:p>
    <w:p>
      <w:pPr>
        <w:spacing w:after="0" w:line="53" w:lineRule="exact"/>
        <w:rPr>
          <w:rFonts w:ascii="Times New Roman" w:cs="Times New Roman" w:eastAsia="Times New Roman" w:hAnsi="Times New Roman"/>
          <w:sz w:val="18"/>
          <w:szCs w:val="18"/>
          <w:color w:val="auto"/>
        </w:rPr>
      </w:pPr>
    </w:p>
    <w:p>
      <w:pPr>
        <w:ind w:right="80" w:firstLine="419"/>
        <w:spacing w:after="0" w:line="254" w:lineRule="auto"/>
        <w:tabs>
          <w:tab w:leader="none" w:pos="6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shall occur which results in the acceleration of the maturity of any Material Debt or enables the holder of such Debt or obligor with respect to any commitment to provide such Debt or any Person acting on such holder’s or obligor’s behalf to accelerate the maturity thereof or, because such event or condition constitutes a default or event of default or similar event, however defined, under the agreement governing such commitment, to terminate such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(f) shall not apply to (i) secured Debt that becomes due as a result of the voluntary sale or transfer of the property or assets securing such Debt, (ii) any Debt that becomes due as a result of a voluntary prepayment, repurchase or redemption thereof, (iii) any debt proceeds, equity proceeds or disposition prepayment requirements contained in any bridge or other interim credit facility or (iv) any Debt incurred to finance an Acquisition that becomes due pursuant to a “special mandatory redemption” or a similar provision on account of such Acquisition not having been consummated;</w:t>
      </w:r>
    </w:p>
    <w:p>
      <w:pPr>
        <w:spacing w:after="0" w:line="83" w:lineRule="exact"/>
        <w:rPr>
          <w:rFonts w:ascii="Times New Roman" w:cs="Times New Roman" w:eastAsia="Times New Roman" w:hAnsi="Times New Roman"/>
          <w:sz w:val="18"/>
          <w:szCs w:val="18"/>
          <w:color w:val="auto"/>
        </w:rPr>
      </w:pPr>
    </w:p>
    <w:p>
      <w:pPr>
        <w:ind w:right="80" w:firstLine="419"/>
        <w:spacing w:after="0" w:line="256" w:lineRule="auto"/>
        <w:tabs>
          <w:tab w:leader="none" w:pos="6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Material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540"/>
          </w:cols>
          <w:pgMar w:left="880" w:top="270" w:right="479" w:bottom="1440" w:gutter="0" w:footer="0" w:header="0"/>
        </w:sectPr>
      </w:pPr>
    </w:p>
    <w:bookmarkStart w:id="101" w:name="page102"/>
    <w:bookmarkEnd w:id="101"/>
    <w:p>
      <w:pPr>
        <w:ind w:left="440" w:right="100" w:firstLine="419"/>
        <w:spacing w:after="0" w:line="258" w:lineRule="auto"/>
        <w:tabs>
          <w:tab w:leader="none" w:pos="11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involuntary case or other proceeding shall be commenced against the Company or any Material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days; or an order for relief shall be entered against the Company or any Material Subsidiary under the federal bankruptcy laws as now or hereafter in effect;</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ERISA Group shall fail to pay when due an amount or amounts aggregating at any given time in excess of</w:t>
      </w:r>
    </w:p>
    <w:p>
      <w:pPr>
        <w:spacing w:after="0" w:line="27" w:lineRule="exact"/>
        <w:rPr>
          <w:sz w:val="20"/>
          <w:szCs w:val="20"/>
          <w:color w:val="auto"/>
        </w:rPr>
      </w:pPr>
    </w:p>
    <w:p>
      <w:pPr>
        <w:ind w:left="440" w:right="20"/>
        <w:spacing w:after="0" w:line="251" w:lineRule="auto"/>
        <w:rPr>
          <w:sz w:val="20"/>
          <w:szCs w:val="20"/>
          <w:color w:val="auto"/>
        </w:rPr>
      </w:pPr>
      <w:r>
        <w:rPr>
          <w:rFonts w:ascii="Times New Roman" w:cs="Times New Roman" w:eastAsia="Times New Roman" w:hAnsi="Times New Roman"/>
          <w:sz w:val="18"/>
          <w:szCs w:val="18"/>
          <w:color w:val="auto"/>
        </w:rPr>
        <w:t>US$150,000,000 which it shall have become liable to pay under Title IV of ERISA; or notice of intent to terminate a Material Plan under a “distress termination” within the meaning of Section 4041(c) of ERISA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Material Plan; or a condition described in Section 4042(a) of ERISA or any successor provision thereto shall exist by reason of which the PBGC would be entitled to obtain a decree adjudicating that any Material Plan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US$100,000,000;</w:t>
      </w:r>
    </w:p>
    <w:p>
      <w:pPr>
        <w:spacing w:after="0" w:line="86" w:lineRule="exact"/>
        <w:rPr>
          <w:sz w:val="20"/>
          <w:szCs w:val="20"/>
          <w:color w:val="auto"/>
        </w:rPr>
      </w:pPr>
    </w:p>
    <w:p>
      <w:pPr>
        <w:jc w:val="both"/>
        <w:ind w:left="440" w:firstLine="419"/>
        <w:spacing w:after="0" w:line="266" w:lineRule="auto"/>
        <w:tabs>
          <w:tab w:leader="none" w:pos="107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order for the payment of money in excess of US$150,000,000 (to the extent not paid or covered by independent third-party insurance as to which the insurer has been notified of and does not dispute coverage) shall be rendered against the Company or any Subsidiary and such judgment or order shall continue unsatisfied and unstayed for a period of 30 days;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then, and in every such event, the Agent shall, at the request of the Required Lenders, by notice to the Company take either or both of the following actions, at the same or different times: (i) terminate forthwith the Commitments (if any), (ii) declare the Loans then outstanding to be forthwith due and payable in whole or in part (but ratably as among the Classes of Loans and the Loans of each Class at the time outstanding), whereupon the principal of the Loans so declared to be due and payable, together with accrued interest thereon and any unpaid accrued fees and all other liabilities of the Borrowers accrued under all Loan Documents, shall become forthwith due and payable immediately and (iii) require the deposit of cash collateral in respect of LC Exposure as provided in Section 2.04(i), in each case, without presentment, demand, protest or any other notice of any kind, all of which are hereby expressly waived by each Borrower, anything contained herein to the contrary notwithstanding; and in any event with respect to any Borrower described in clause (g) or (h) above, the Commitments (if any) shall automatically terminate, the principal of the Loans then outstanding, together with accrued interest thereon and any unpaid accrued fees and all other liabilities of the Borrowers accrued hereunder or under any other Loan Document, shall automatically become due and payable immediately and the deposit of such cash collateral in respect of LC Exposure shall immediately and automatically become due, in each case, without presentment, demand, protest or any other notice of any kind, all of which are hereby expressly waived by each Borrower, anything contained herein to the contrary notwithstanding.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2" w:name="page103"/>
    <w:bookmarkEnd w:id="102"/>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6.02.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Agent shall give notice to the Company under Section 6.01(c) promptly upon being requested to do so by any Lender and shall thereupon notify all the Lenders thereof.</w:t>
      </w:r>
    </w:p>
    <w:p>
      <w:pPr>
        <w:spacing w:after="0" w:line="37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THE AGENT</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Appointment and Authorization</w:t>
      </w:r>
      <w:r>
        <w:rPr>
          <w:rFonts w:ascii="Times New Roman" w:cs="Times New Roman" w:eastAsia="Times New Roman" w:hAnsi="Times New Roman"/>
          <w:sz w:val="18"/>
          <w:szCs w:val="18"/>
          <w:color w:val="auto"/>
        </w:rPr>
        <w:t>. Each Lender and Issuing Bank irrevocably appoints and authorizes the Agent to take such action and to exercise such powers under the Loan Documents as are delegated to the Agent by the terms hereof or thereof, together with all such powers as are reasonably incidental thereto.</w:t>
      </w:r>
    </w:p>
    <w:p>
      <w:pPr>
        <w:spacing w:after="0" w:line="17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Agent and Affiliates</w:t>
      </w:r>
      <w:r>
        <w:rPr>
          <w:rFonts w:ascii="Times New Roman" w:cs="Times New Roman" w:eastAsia="Times New Roman" w:hAnsi="Times New Roman"/>
          <w:sz w:val="18"/>
          <w:szCs w:val="18"/>
          <w:color w:val="auto"/>
        </w:rPr>
        <w:t>. JPMorgan shall have the same rights and powers under the Loan Documents as any other Lender or Issuing Bank and may exercise or refrain from exercising the same as though it were not the Agent, and JPMorgan and its Affiliates may accept deposits from, lend money to, own securities of, act as the financial advisor or in any other advisory capacity for and generally engage in any kind of business with the Company or any Subsidiary or any other Affiliate of the Company as if it were not the Agent hereunder, and without any duty to account therefor to the Lenders or the Issuing Banks.</w:t>
      </w:r>
    </w:p>
    <w:p>
      <w:pPr>
        <w:spacing w:after="0" w:line="183" w:lineRule="exact"/>
        <w:rPr>
          <w:sz w:val="20"/>
          <w:szCs w:val="20"/>
          <w:color w:val="auto"/>
        </w:rPr>
      </w:pPr>
    </w:p>
    <w:p>
      <w:pPr>
        <w:ind w:left="4" w:righ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Action by Agent</w:t>
      </w:r>
      <w:r>
        <w:rPr>
          <w:rFonts w:ascii="Times New Roman" w:cs="Times New Roman" w:eastAsia="Times New Roman" w:hAnsi="Times New Roman"/>
          <w:sz w:val="17"/>
          <w:szCs w:val="17"/>
          <w:color w:val="auto"/>
        </w:rPr>
        <w:t>. The obligations of the Agent hereunder are only those expressly set forth in the Loan Documents, and the Agent’s duties hereunder and under the other Loan Documents shall be administrative in nature. The motivations of the Agent are commercial in nature and not to invest in the general performance or operations of the Company and its Subsidiaries. Without limiting the generality of the foregoing,</w:t>
      </w:r>
    </w:p>
    <w:p>
      <w:pPr>
        <w:spacing w:after="0" w:line="2" w:lineRule="exact"/>
        <w:rPr>
          <w:sz w:val="20"/>
          <w:szCs w:val="20"/>
          <w:color w:val="auto"/>
        </w:rPr>
      </w:pPr>
    </w:p>
    <w:p>
      <w:pPr>
        <w:ind w:left="4" w:hanging="4"/>
        <w:spacing w:after="0" w:line="251" w:lineRule="auto"/>
        <w:tabs>
          <w:tab w:leader="none" w:pos="2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not be subject to any fiduciary or other implied duties, regardless of whether a Default has occurred and is continuing (and it is understood and agreed that the use of the term “agent” herein or in any other Loan Documents (or any other similar term) with reference to the Agent is not intended to connote any fiduciary or other implied (or express) obligations arising under agency doctrine or any applicable law, and that such term is used as a matter of market custom and is intended to create or reflect only an administrative relationship between contracting parties), (b) the Agent shall not have any duty to take any discretionary action or to exercise any discretionary power, except discretionary rights and powers expressly contemplated by the Loan Documents that the Agent is required to exercise as directed in writing by the Required Lenders (or such other number or percentage of the Lenders as shall be necessary, or as the Agent shall believe in good faith to be necessary, under the circumstances as provided in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take any action that, in its opinion, could expose the Agent to liability or be contrary to any Loan Document or applicable law, and (c) except as expressly set forth in the Loan Documents, the Agent shall not have any duty to disclose, and shall not be liable for the failure to disclose, any information relating to the Company or any Subsidiary or any other Affiliate of the Company that is communicated to or obtained by the Person serving as the Agent or any of its Affiliates in any capacity.</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4"/>
          </w:cols>
          <w:pgMar w:left="436" w:top="270" w:right="479" w:bottom="1440" w:gutter="0" w:footer="0" w:header="0"/>
        </w:sectPr>
      </w:pPr>
    </w:p>
    <w:bookmarkStart w:id="103" w:name="page104"/>
    <w:bookmarkEnd w:id="103"/>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Consultation with Experts</w:t>
      </w:r>
      <w:r>
        <w:rPr>
          <w:rFonts w:ascii="Times New Roman" w:cs="Times New Roman" w:eastAsia="Times New Roman" w:hAnsi="Times New Roman"/>
          <w:sz w:val="18"/>
          <w:szCs w:val="18"/>
          <w:color w:val="auto"/>
        </w:rPr>
        <w:t>. The Agent may consult with legal counsel (who may be counsel for the Company), independent public accountants and other experts selected by it and shall not be liable for any action taken or omitted to be taken by it in good faith in accordance with the advice of such counsel, accountants or experts.</w:t>
      </w:r>
    </w:p>
    <w:p>
      <w:pPr>
        <w:spacing w:after="0" w:line="176"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Liability of Agent</w:t>
      </w:r>
      <w:r>
        <w:rPr>
          <w:rFonts w:ascii="Times New Roman" w:cs="Times New Roman" w:eastAsia="Times New Roman" w:hAnsi="Times New Roman"/>
          <w:sz w:val="18"/>
          <w:szCs w:val="18"/>
          <w:color w:val="auto"/>
        </w:rPr>
        <w:t>. Neither the Agent nor any of its Related Parties shall be liable for any action taken or not taken by it in connection herewith (a) with the consent or at the request of the Required Lenders (or such other number or percentage of the Lenders as shall be necessary, or as the Agent shall believe in good faith to be necessary, under the circumstances as provided in the Loan Documents) or (b) in the absence of its own gross negligence or willful misconduct (such absence to be presumed unless otherwise determined by a court of competent jurisdiction by a final and non-appealable judgment). Neither the Agent nor any of its Related Parties shall be deemed to have knowledge of any Default unless and until written notice thereof (stating that it is a “notice of default”) is given to the Agent by the Company, any Lender or any Issuing Bank, and neither the Agent nor any of its Related Parties shall be responsible for or have any duty to ascertain, inquire into or verify (i) any statement, warranty or representation made in connection with any Loan Document or any borrowing hereunder, or the contents of any certificate, report or other document delivered thereunder or in connection therewith; (ii) the performance or observance of any of the covenants or agreements of any Borrower or any Lender or the occurrence of any Default; (iii) the satisfaction of any condition specified in Article IV, except receipt of items required to be delivered to the Agent or satisfaction of any condition that expressly refers to the matters described therein being acceptable or satisfactory to the Agent; or (iv) the sufficiency, validity, enforceability, effectiveness or genuineness of any Loan Document or any other instrument, document or writing furnished in connection herewith. The Agent shall be deemed to have no knowledge of any Lender being a Restricted Lender unless and until the Agent shall have received the written notice from such Lender referred to in Section 1.06, and then only as and to the extent specified in such notice, and any determination of whether the Required Lenders or any other requisite Lenders shall have provided a consent or direction in connection with this Agreement or any other Loan Document shall not be affected by any delivery to the Agent of any such written notice subsequent to such consent or direction being provided by the Required Lenders or other requisite Lenders. Without limiting the foregoing, the Agent shall have no obligation to take any action under Section 5.06. The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Loan Documents for being the signatory, sender or authenticator thereof). The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In determining compliance with any condition hereunder to the making of a Loan or any issuance, amendment or extension of any Letter of Credit that by its terms must be fulfilled to the satisfaction of a Lender or an Issuing Bank, the Agent may presume that such condition is satisfactory to such Lender or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70" w:right="479" w:bottom="1440" w:gutter="0" w:footer="0" w:header="0"/>
        </w:sectPr>
      </w:pPr>
    </w:p>
    <w:bookmarkStart w:id="104" w:name="page105"/>
    <w:bookmarkEnd w:id="10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Issuing Bank, as the case may be, unless the Agent shall have received notice to the contrary from such Lender or Issuing Bank, as the case may be, reasonably prior to the making of such Loan or such issuance, amendment or extension of a Letter of Credit. Notwithstanding anything herein to the contrary, the Agent shall not have any liability arising from, or be responsible for any loss, cost or expense suffered on account of, any determination by the Agent (a) that any Lender is a Defaulting Lender, or the effective date of such status, it being further understood and agreed that the Agent shall not have any obligation to determine whether any Lender is a Defaulting Lender, (b) of the Foreign Currency Overnight Rate, the Central Bank Rate or the Central Bank Rate Adjustment or (c) under Section 1.04.</w:t>
      </w:r>
    </w:p>
    <w:p>
      <w:pPr>
        <w:spacing w:after="0" w:line="187"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Certain Acknowledgments</w:t>
      </w:r>
      <w:r>
        <w:rPr>
          <w:rFonts w:ascii="Times New Roman" w:cs="Times New Roman" w:eastAsia="Times New Roman" w:hAnsi="Times New Roman"/>
          <w:sz w:val="18"/>
          <w:szCs w:val="18"/>
          <w:color w:val="auto"/>
        </w:rPr>
        <w:t>. (a) Each Lender and Issuing Bank acknowledges that (i) the Loan Documents set forth the terms of a commercial lending facility, (ii) in participating as a Lender or Issuing Bank,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Company and its Subsidiaries, or for the purpose of purchasing, acquiring or holding any other type of financial instrument such as a security (and each Lender and Issuing Bank agrees not to assert a claim in contravention of the foregoing, such as a claim under the federal or state securities law), (iii) it has, independently and without reliance upon the Agent, any Arranger, the Syndication Agent, any Documentation Agent or any other Lender, and based on such documents and information as it has deemed appropriate, made its own credit analysis and decision to enter into this Agreement as a Lender or Issuing Bank, as the case may be, and to make, acquire or hold Loans or other credit extensions hereunder and (iv) it is sophisticated with respect to decisions to make, acquire and/or hold commercial loans and to provide other facilities set forth herein, as may be applicable to such Lender or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Issuing Bank also acknowledges that it will, independently and without reliance upon the Agent, any Arranger, the Syndication Agent, any Documentation Agent or any other Lender, and based on such documents and information as it shall deem appropriate at the time, continue to make its own credit decisions in taking or not taking any action under this Agreement. Each Lender and Issuing Bank, by delivering its signature page to this Agreement, or delivering its signature page to an Assignment and Assumption or an Accession Agreement, shall be deemed to have acknowledged receipt of, and consented to and approved, each Loan Document and each other document required to be delivered to, or be approved by or satisfactory to, the Agent or the Lenders and Issuing Banks on the Effective Date.</w:t>
      </w:r>
    </w:p>
    <w:p>
      <w:pPr>
        <w:spacing w:after="0" w:line="84" w:lineRule="exact"/>
        <w:rPr>
          <w:sz w:val="20"/>
          <w:szCs w:val="20"/>
          <w:color w:val="auto"/>
        </w:rPr>
      </w:pPr>
    </w:p>
    <w:p>
      <w:pPr>
        <w:ind w:left="440" w:firstLine="419"/>
        <w:spacing w:after="0" w:line="258"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Issuing Banks acknowledge that there may be a constant flow of information (including information which may be subject to confidentiality obligations in favor of the Company and its Subsidiaries) between the Company and its Affiliates, on the one hand, and JPMorgan and its Affiliates, on the other hand. Without limiting the foregoing, the Company and its Affiliates may provide information, including updates to information previously provided to JPMorgan and its Affiliates acting in different capacities, including as a lender, issuing bank, lead bank,</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60"/>
          </w:cols>
          <w:pgMar w:left="440" w:top="270" w:right="499" w:bottom="1440" w:gutter="0" w:footer="0" w:header="0"/>
        </w:sectPr>
      </w:pPr>
    </w:p>
    <w:bookmarkStart w:id="105" w:name="page106"/>
    <w:bookmarkEnd w:id="105"/>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arranger or potential securities investor, independent of the role of JPMorgan as Agent hereunder. The Lenders and the Issuing Banks acknowledge that neither JPMorgan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and/or the Issuing Banks by the Agent herein or in any other Loan Document, the Agent shall not have any duty or responsibility to provide, and shall not be liable for the failure to provide, any Lender or any Issuing Bank with any credit or other information concerning the Loans, Letters of Credit, the Lenders, the Issuing Banks, the business, prospects, operations, property, financial and other condition or creditworthiness of the Company or any of its Affiliates that is communicated to, obtained by, or in the possession of, the Agent or any of its Affiliates in any capacity, including any information obtained by the Agent in the course of communications among the Agent and the Company, any of its Affiliates or any other Person. Notwithstanding the foregoing, any such information may (but shall not be required to) be shared by the Agent with one or more Lenders and/or Issuing Banks, or any formal or informal committee or ad hoc group of such Lenders and/or Issuing Banks, including at the direction of the Company.</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color w:val="auto"/>
        </w:rPr>
        <w:t xml:space="preserve">. The Agent may resign at any time by giving notice thereof to the Lenders and the Company. Upon any such resignation, the Required Lenders shall have the right to appoint a successor Agent. If no successor Agent shall have been so appointed by the Required Lenders, and shall have accepted such appointment, within 30 days after the retiring Agent gives notice of resignation, then the retiring Agent may, on behalf of the Lenders, appoint a successor Agent, which shall be a commercial bank organized or licensed under the laws of the United States of America or of any State thereof and having a combined capital and surplus of at least US$500,000,000. Upon the acceptance of its appointment as Agent hereunder by a successor Agent, such successor Agent shall thereupon succeed to and become vested with all the rights and duties of the retiring Agent, and the retiring Agent shall be discharged from its duties and obligations hereunder. The fees payable by the Company to a successor Agent shall be the same as those payable to its predecessor unless otherwise agreed between the Company and such successor. Notwithstanding the foregoing, in the event no successor Agent shall have been so appointed and shall have accepted such appointment within 30 days after the retiring Agent gives notice of its intent to resign, the retiring Agent may give notice of the effectiveness of its resignation to the Lenders, the Issuing Banks and the Company, whereupon, on the date of effectiveness of such resignation stated in such notice, (a) the retiring Agent shall be discharged from its duties and obligations hereunder and (b) the Required Lenders shall succeed to and become vested with all the rights, powers, privileges and duties of the retiring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payments required to be made hereunder to the retiring Agent for the account of any Person other than the retiring Agent shall be made directly to such Person and (ii) all notices and other communications required or contemplated to be given or made to the retiring Agent shall also directly be given or made to each Lender and each Issuing Bank. After an Agent’s resignation hereunder, the provisions of this Article VII and Section 9.03 shall inure to the benefit of such retiring Agent, its sub-agents and their respective Related Parties in respect of any actions taken or omitted to be taken by any of them while it was acting as the Agent.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6" w:name="page107"/>
    <w:bookmarkEnd w:id="106"/>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7.08. </w:t>
      </w:r>
      <w:r>
        <w:rPr>
          <w:rFonts w:ascii="Times New Roman" w:cs="Times New Roman" w:eastAsia="Times New Roman" w:hAnsi="Times New Roman"/>
          <w:sz w:val="18"/>
          <w:szCs w:val="18"/>
          <w:u w:val="single" w:color="auto"/>
          <w:color w:val="auto"/>
        </w:rPr>
        <w:t>Arrangers, Syndication Agent and Documentation Agents</w:t>
      </w:r>
      <w:r>
        <w:rPr>
          <w:rFonts w:ascii="Times New Roman" w:cs="Times New Roman" w:eastAsia="Times New Roman" w:hAnsi="Times New Roman"/>
          <w:sz w:val="18"/>
          <w:szCs w:val="18"/>
          <w:color w:val="auto"/>
        </w:rPr>
        <w:t>. The Arrangers, the Syndication Agent and the Documentation Agents shall, in their capacities as such, have no responsibilities, obligations or liabilities under any Loan Document.</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Agent Designees and Sub-Agents</w:t>
      </w:r>
      <w:r>
        <w:rPr>
          <w:rFonts w:ascii="Times New Roman" w:cs="Times New Roman" w:eastAsia="Times New Roman" w:hAnsi="Times New Roman"/>
          <w:sz w:val="18"/>
          <w:szCs w:val="18"/>
          <w:color w:val="auto"/>
        </w:rPr>
        <w:t>. (a) The Agent is hereby authorized to designate one of its Affiliates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to perform the functions of the Agent with respect to Loans, Borrowings and Letters of Credit denominated in any Designated Foreign Currency. The Agent shall designate the Agent Designee by notice to the Company and the Lenders (and may from time to time replace the Agent Designee with any of its Affiliates by notice to the Company and the Lenders). Upon and after any such designation, (i) copies of all Notices of Borrowing, Interest Election Requests and all other notices required to be delivered hereunder with respect to Designated Foreign Currency Borrowings shall be delivered to both the Agent and the Agent Designee and (ii) all references hereunder to the “Agent” in the context of Loans, Borrowings and Letters of Credit denominated in any Designated Foreign Currency shall be construed as including references to the Agent Designee.</w:t>
      </w:r>
    </w:p>
    <w:p>
      <w:pPr>
        <w:spacing w:after="0" w:line="81" w:lineRule="exact"/>
        <w:rPr>
          <w:sz w:val="20"/>
          <w:szCs w:val="20"/>
          <w:color w:val="auto"/>
        </w:rPr>
      </w:pPr>
    </w:p>
    <w:p>
      <w:pPr>
        <w:ind w:left="440" w:firstLine="419"/>
        <w:spacing w:after="0" w:line="255"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this Article VII shall apply to any such sub-agent and to the Related Parties of the Agent and any such sub-agent, and shall apply to their respective activities in connection with the syndication of the credit facilities provided for herein as well as activities as Agent. The Agent shall not be responsible for the negligence or misconduct of any of its sub-agents, except to the extent that a court of competent jurisdiction determines in a final and nonappealable judgment that the Agent acted with gross negligence or willful misconduct in the selection of such sub-agents.</w:t>
      </w:r>
    </w:p>
    <w:p>
      <w:pPr>
        <w:spacing w:after="0" w:line="18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Bankruptcy or Similar Process</w:t>
      </w:r>
      <w:r>
        <w:rPr>
          <w:rFonts w:ascii="Times New Roman" w:cs="Times New Roman" w:eastAsia="Times New Roman" w:hAnsi="Times New Roman"/>
          <w:sz w:val="18"/>
          <w:szCs w:val="18"/>
          <w:color w:val="auto"/>
        </w:rPr>
        <w:t>. In case of the pendency of any proceeding with respect to any Borrower under any federal, state or foreign bankruptcy, insolvency, receivership or similar law now or hereafter in effect, the Agent (irrespective of whether the principal of any Loan or any LC Disbursement shall then be due and payable as herein expressed or by declaration or otherwise and irrespective of whether the Agent shall have made any demand on any Borrower) shall be entitled and empowered (but not obligated) by intervention in such proceeding or otherwise:</w:t>
      </w:r>
    </w:p>
    <w:p>
      <w:pPr>
        <w:spacing w:after="0" w:line="75" w:lineRule="exact"/>
        <w:rPr>
          <w:sz w:val="20"/>
          <w:szCs w:val="20"/>
          <w:color w:val="auto"/>
        </w:rPr>
      </w:pPr>
    </w:p>
    <w:p>
      <w:pPr>
        <w:ind w:left="440" w:firstLine="419"/>
        <w:spacing w:after="0" w:line="266"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Exposure and all other obligations under this Agreement that are owing and unpaid and to file such other documents as may be necessary or advisable in order to have the claims of the Lenders, the Issuing Banks and the Agent allowed in such judicial proceeding;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7" w:name="page108"/>
    <w:bookmarkEnd w:id="107"/>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any custodian, receiver, assignee, trustee, liquidator, sequestrator or other similar official in any such proceeding is hereby authorized by each Lender and each Issuing Bank to make such payments to the Agent and, in the event that the Agent shall consent to the making of such payments directly to the Lenders or the Issuing Banks, to pay to the Agent any amount due to it, in its capacity as the Agent, under this Agreement (including under Section 9.03). Nothing contained herein shall be deemed to authorize the Agent to authorize or consent to or accept or adopt on behalf of any Lender or any Issuing Bank any plan of reorganization, arrangement, adjustment or composition affecting the obligations or the rights of any Lender or Issuing Bank, or to vote in respect of the claim of any Lender or Issuing Bank in any such proceeding.</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Borrowers, that at least one of the following is and will be true:</w:t>
      </w:r>
    </w:p>
    <w:p>
      <w:pPr>
        <w:spacing w:after="0" w:line="68" w:lineRule="exact"/>
        <w:rPr>
          <w:sz w:val="20"/>
          <w:szCs w:val="20"/>
          <w:color w:val="auto"/>
        </w:rPr>
      </w:pPr>
    </w:p>
    <w:p>
      <w:pPr>
        <w:ind w:left="440" w:firstLine="419"/>
        <w:spacing w:after="0" w:line="266"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56"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w:t>
      </w:r>
    </w:p>
    <w:p>
      <w:pPr>
        <w:spacing w:after="0" w:line="27" w:lineRule="exact"/>
        <w:rPr>
          <w:sz w:val="20"/>
          <w:szCs w:val="20"/>
          <w:color w:val="auto"/>
        </w:rPr>
      </w:pPr>
    </w:p>
    <w:p>
      <w:pPr>
        <w:ind w:left="440" w:right="160"/>
        <w:spacing w:after="0" w:line="252" w:lineRule="auto"/>
        <w:rPr>
          <w:sz w:val="20"/>
          <w:szCs w:val="20"/>
          <w:color w:val="auto"/>
        </w:rPr>
      </w:pPr>
      <w:r>
        <w:rPr>
          <w:rFonts w:ascii="Times New Roman" w:cs="Times New Roman" w:eastAsia="Times New Roman" w:hAnsi="Times New Roman"/>
          <w:sz w:val="18"/>
          <w:szCs w:val="18"/>
          <w:color w:val="auto"/>
        </w:rPr>
        <w:t>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2" w:lineRule="exact"/>
        <w:rPr>
          <w:sz w:val="20"/>
          <w:szCs w:val="20"/>
          <w:color w:val="auto"/>
        </w:rPr>
      </w:pPr>
    </w:p>
    <w:p>
      <w:pPr>
        <w:ind w:left="5420" w:right="60" w:hanging="4561"/>
        <w:spacing w:after="0" w:line="454" w:lineRule="auto"/>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 in its sole discretion, and such Lender. 98</w:t>
      </w:r>
    </w:p>
    <w:p>
      <w:pPr>
        <w:sectPr>
          <w:pgSz w:w="11900" w:h="16838" w:orient="portrait"/>
          <w:cols w:equalWidth="0" w:num="1">
            <w:col w:w="11000"/>
          </w:cols>
          <w:pgMar w:left="440" w:top="270" w:right="459" w:bottom="1440" w:gutter="0" w:footer="0" w:header="0"/>
        </w:sectPr>
      </w:pPr>
    </w:p>
    <w:bookmarkStart w:id="108" w:name="page109"/>
    <w:bookmarkEnd w:id="108"/>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unless either the immediately preceding clause (a) is true with respect to a Lender or a Lender has provided another representation, warranty and covenant in accordance with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Borrowers,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 (a) Each Lender and Issuing Bank hereby agrees that (i) if the Agent notifies such Lender or Issuing Bank that the Agent has determined in its sole discretion that any funds received by such Lender or Issuing Bank from the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or such Issuing Bank (whether or not known to such Lender or Issuing Bank), and demands the return of such Payment (or a portion thereof), such Lender or Issuing Bank, as the case may be, shall promptly, but in no event later than one Business Day thereafter (or such later date as the Agent may, in its sole discretion, specify in writing), return to the Agent the amount of any such Payment (or portion thereof) as to which such a demand was made in same day funds, together with interest thereon (except to the extent waived in writing by the Agent) in respect of each day from and including the date such Payment (or portion thereof) was received by such Lender or Issuing Bank to the date such amount is repaid to the Agent at the Overnight Rate and (ii) to the extent permitted by applicable law, such Lender or Issuing Bank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or Issuing Bank under this paragraph shall be conclusive, absent manifest error.</w:t>
      </w:r>
    </w:p>
    <w:p>
      <w:pPr>
        <w:spacing w:after="0" w:line="82" w:lineRule="exact"/>
        <w:rPr>
          <w:sz w:val="20"/>
          <w:szCs w:val="20"/>
          <w:color w:val="auto"/>
        </w:rPr>
      </w:pPr>
    </w:p>
    <w:p>
      <w:pPr>
        <w:ind w:left="440" w:firstLine="419"/>
        <w:spacing w:after="0" w:line="253"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Bank hereby further agrees that if it receives a Payment from the Agent or any of its Affiliates (i) that is in a different amount than, or on a different date from, that specified in a notice of payment sent by the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(ii)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as the case may be, shall promptly notify the Agent of such occurrence and, upon demand from the Agent, it shall promptly, but in no event later than one Business Day thereafter (or such later date as the Agent may, in its sole discretion, specify in writing), return to the Agent the amount of any such Payment (or portion thereof) as to which such a demand was made in same day funds, together with interest thereon (except to the extent waived in writing by the Agent) in respect of each day from and including the date such Payment (or portion thereof) was received by such Lender or Issuing Bank to the date such amount is repaid to the Agent at the Overnight Rate.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09" w:name="page110"/>
    <w:bookmarkEnd w:id="109"/>
    <w:p>
      <w:pPr>
        <w:jc w:val="both"/>
        <w:ind w:left="440" w:right="80" w:firstLine="419"/>
        <w:spacing w:after="0" w:line="261" w:lineRule="auto"/>
        <w:tabs>
          <w:tab w:leader="none" w:pos="11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Borrowers hereby agree that (i) in the event an erroneous Payment (or portion thereof) is not recovered from any Lender or Issuing Bank that has received such Payment (or portion thereof) for any reason, the Agent shall be subrogated to all the rights of such Lender or Issuing Bank with respect to such amount and (ii) an erroneous Payment shall not pay, prepay, repay, discharge or otherwise satisfy any Obligations owed by the Borrowers.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7.12 shall survive the resignation or replacement of the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Posting of Communications; Approved Borrower Portal</w:t>
      </w:r>
      <w:r>
        <w:rPr>
          <w:rFonts w:ascii="Times New Roman" w:cs="Times New Roman" w:eastAsia="Times New Roman" w:hAnsi="Times New Roman"/>
          <w:sz w:val="18"/>
          <w:szCs w:val="18"/>
          <w:color w:val="auto"/>
        </w:rPr>
        <w:t>. (a) Each Borrower agrees that the Agent may, but shall not be obligated to, make any Communications available to the Lenders and the Issuing Banks by posting such Communications on an Approved Electronic Platform. The Agent, the Lenders and the Issuing Banks agree that the Borrowers may, but shall not be obligated to, make any Borrower Communications to the Agent through an Approved Borrower Portal.</w:t>
      </w:r>
    </w:p>
    <w:p>
      <w:pPr>
        <w:spacing w:after="0" w:line="72" w:lineRule="exact"/>
        <w:rPr>
          <w:sz w:val="20"/>
          <w:szCs w:val="20"/>
          <w:color w:val="auto"/>
        </w:rPr>
      </w:pPr>
    </w:p>
    <w:p>
      <w:pPr>
        <w:ind w:left="440" w:firstLine="419"/>
        <w:spacing w:after="0" w:line="271" w:lineRule="auto"/>
        <w:tabs>
          <w:tab w:leader="none" w:pos="111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each of the Approved Electronic Platform and the Approved Borrower Portal and its primary web portal are secured with generally-applicable security procedures and policies implemented or modified by the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acknowledges and agrees that the distribution of material through an electronic medium is not necessarily secure, that the Agent is not responsible for approving or vetting the representatives or contacts of any Lender or Issuing Bank that are added to the Approved Electronic Platform or any Borrower that is added to the Approved Borrower Portal, and that there may be confidentiality and other risks associated with such distribution. Each of the Lenders, the Issuing Banks and the Borrowers hereby approves distribution of the Communications through the Approved Electronic Platform and of the Borrower Communications through the Approved Borrower Portal and understands and assumes the risks of such distribution.</w:t>
      </w:r>
    </w:p>
    <w:p>
      <w:pPr>
        <w:spacing w:after="0" w:line="65" w:lineRule="exact"/>
        <w:rPr>
          <w:rFonts w:ascii="Times New Roman" w:cs="Times New Roman" w:eastAsia="Times New Roman" w:hAnsi="Times New Roman"/>
          <w:sz w:val="17"/>
          <w:szCs w:val="17"/>
          <w:color w:val="auto"/>
        </w:rPr>
      </w:pPr>
    </w:p>
    <w:p>
      <w:pPr>
        <w:ind w:left="440" w:right="340" w:firstLine="419"/>
        <w:spacing w:after="0" w:line="258"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APPROVED ELECTRONIC PLATFORM, THE COMMUNICATIONS AND THE APPROVED BORROWER PORTAL IS PROVIDED “AS IS” AND “AS AVAILABLE”. THE APPLICABLE PARTIES (AS DEFINED BELOW) DO NOT WARRANT THE ACCURACY OR COMPLETENESS OF THE COMMUNICATIONS OR THE BORROWER COMMUNICATIONS, OR THE ADEQUACY OF THE APPROVED ELECTRONIC PLATFORM AND EXPRESSLY DISCLAIM LIABILITY FOR ERRORS OR OMISSIONS IN THE APPROVED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10" w:name="page111"/>
    <w:bookmarkEnd w:id="11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PLATFORM, THE COMMUNICATIONS, THE APPROVED BORROWER PORTAL OR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APPROVED ELECTRONIC PLATFORM, THE COMMUNICATIONS, THE APPROVED BORROWER PORTAL OR THE BORROWER COMMUNICATIONS. IN NO EVENT SHALL THE AGENT, ANY ARRANGER, ANY DOCUMENTATION AGENT, THE SYNDICATION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BORROWER, ANY LENDER, ANY ISSUING BANK OR ANY OTHER PERSON FOR DAMAGES OF ANY KIND, INCLUDING DIRECT OR INDIRECT, SPECIAL, INCIDENTAL OR CONSEQUENTIAL DAMAGES, LOSSES OR EXPENSES (WHETHER IN TORT, CONTRACT OR OTHERWISE) ARISING OUT OF ANY BORROWER’S OR THE AGENT’S TRANSMISSION OF COMMUNICATIONS THROUGH THE INTERNET OR THE APPROVED ELECTRONIC PLATFORM OR ANY BORROWER’S TRANSMISSION OF BORROWER COMMUNICATIONS THROUGH THE INTERNET OR THE APPROVED BORROWER PORTAL, EXCEPT TO THE EXTENT SUCH DAMAGES, LOSSES OR EXPENSES ARE DETERMINED BY A COURT OF COMPETENT JURISDICTION BY A FINAL AND NON-APPEALABLE JUDGMENT TO HAVE RESULTED FROM THE GROSS NEGLIGENCE OR WILLFUL MISCONDUCT OF SUCH APPLICABLE PARTY.</w:t>
      </w:r>
    </w:p>
    <w:p>
      <w:pPr>
        <w:spacing w:after="0" w:line="88" w:lineRule="exact"/>
        <w:rPr>
          <w:sz w:val="20"/>
          <w:szCs w:val="20"/>
          <w:color w:val="auto"/>
        </w:rPr>
      </w:pPr>
    </w:p>
    <w:p>
      <w:pPr>
        <w:jc w:val="both"/>
        <w:ind w:right="20" w:firstLine="419"/>
        <w:spacing w:after="0" w:line="258"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agrees that notice to it (as provided in the next sentence) specifying that Communications have been posted to the Approved Electronic Platform shall constitute effective delivery of the Communications to such Lender or Issuing Bank for purposes of the Loan Documents. Each Lender and each Issuing Bank agrees (i) to notify the Agent in writing (which could be by email) from time to time of such Lender’s or Issuing Bank’s, as applicable, email address to which the foregoing notice may be sent by electronic transmission and (ii) that the foregoing notice may be sent to such email address.</w:t>
      </w:r>
    </w:p>
    <w:p>
      <w:pPr>
        <w:spacing w:after="0" w:line="75" w:lineRule="exact"/>
        <w:rPr>
          <w:rFonts w:ascii="Times New Roman" w:cs="Times New Roman" w:eastAsia="Times New Roman" w:hAnsi="Times New Roman"/>
          <w:sz w:val="18"/>
          <w:szCs w:val="18"/>
          <w:color w:val="auto"/>
        </w:rPr>
      </w:pPr>
    </w:p>
    <w:p>
      <w:pPr>
        <w:ind w:right="120" w:firstLine="419"/>
        <w:spacing w:after="0" w:line="266" w:lineRule="auto"/>
        <w:tabs>
          <w:tab w:leader="none" w:pos="6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the Issuing Banks and the Borrowers agrees that the Agent may, but (except as may be required by applicable law) shall not be obligated to, store the Communications on the Approved Electronic Platform and the Borrower Communications on the Approved Borrower Portal in accordance with Agent’s generally applicable document retention procedures and policies.</w:t>
      </w:r>
    </w:p>
    <w:p>
      <w:pPr>
        <w:spacing w:after="0" w:line="67" w:lineRule="exact"/>
        <w:rPr>
          <w:rFonts w:ascii="Times New Roman" w:cs="Times New Roman" w:eastAsia="Times New Roman" w:hAnsi="Times New Roman"/>
          <w:sz w:val="18"/>
          <w:szCs w:val="18"/>
          <w:color w:val="auto"/>
        </w:rPr>
      </w:pPr>
    </w:p>
    <w:p>
      <w:pPr>
        <w:ind w:right="720" w:firstLine="419"/>
        <w:spacing w:after="0" w:line="282" w:lineRule="auto"/>
        <w:tabs>
          <w:tab w:leader="none" w:pos="6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Agent, any Lender, any Issuing Bank or any Borrower to give any notice or other communication pursuant to any Loan Document in any other manner specified in such Loan Document.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60"/>
          </w:cols>
          <w:pgMar w:left="880" w:top="270" w:right="459" w:bottom="1440" w:gutter="0" w:footer="0" w:header="0"/>
        </w:sectPr>
      </w:pPr>
    </w:p>
    <w:bookmarkStart w:id="111" w:name="page112"/>
    <w:bookmarkEnd w:id="111"/>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In order to induce the Guaranteed Parties to extend credit to the Borrowing Subsidiaries hereunder, the Company hereby irrevocably and unconditionally guarantees, as a primary obligor and not merely as a surety, the Obligations of the Borrowing Subsidiaries. The Company further agrees that the due and punctual payment of the Obligations of the Borrowing Subsidiaries may be extended or renewed, in whole or in part, without notice to or further assent from it, and that it will remain bound upon its guarantee hereunder notwithstanding any such extension or renewal of any Obligation.</w:t>
      </w:r>
    </w:p>
    <w:p>
      <w:pPr>
        <w:spacing w:after="0" w:line="16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Company waives presentment to, demand of payment from and protest to any Borrowing Subsidiary of any of the Obligations, and also waives notice of acceptance of its obligations and notice of protest for nonpayment. The obligations of the Company under this Article VIII shall not be affected by (a) the failure of any Guaranteed Party to assert any claim or demand or to enforce any right or remedy against any Borrowing Subsidiary under the provisions of this Agreement, any Borrowing Subsidiary Agreement, any other Loan Document or otherwise; (b) any extension or renewal of any of the Obligations of any Borrowing Subsidiary; (c) any rescission, waiver, amendment or modification of, or release of any Borrowing Subsidiary from, any of the terms or provisions applicable to any Borrowing Subsidiary of this Agreement, any Borrowing Subsidiary Agreement, any other Loan Document or any other agreement or instrument; (d) the failure or delay of any Guaranteed Party to exercise any right or remedy against any other guarantor of the Obligations of any Borrowing Subsidiary; (e) any default, failure or delay, willful or otherwise, in the performance of the Obligations of any Borrowing Subsidiary; or (f) any other act (other than payment or performance of the Obligations of any Borrowing Subsidiary), omission or delay to do any other act which may or might in any manner or to any extent vary the risk of the Company or otherwise operate as a discharge of the Company as guarantor as a matter of law or equity or which would impair or eliminate any right of the Company to subrogation.</w:t>
      </w:r>
    </w:p>
    <w:p>
      <w:pPr>
        <w:spacing w:after="0" w:line="19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The Company further agrees that its guarantee hereunder constitutes a promise of payment when due (whether or not any bankruptcy or similar proceeding of any Borrowing Subsidiary shall have stayed the accrual or collection of any of the Obligations of such Borrowing Subsidiary or operated as a discharge thereof) and not merely of collection, and waives any right to require that any resort be had by any Guaranteed Party to any balance of any deposit account or credit on the books of any Guaranteed Party in favor of any Borrower or Subsidiary or any other Person.</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Company under this Article VIII shall not be subject to any reduction, limitation, impairment or termination for any reason, and shall not be subject to any defense or setoff, counterclaim, recoupment or termination whatsoever, by reason of the invalidity, illegality or unenforceability of the Obligations of any Borrowing Subsidiary, any impossibility in the performance of the Obligations of any Borrowing Subsidiary, any law or regulation of any jurisdiction or any other event affecting any term of the Obligations of any Borrowing Subsidiary or otherwise.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60"/>
          </w:cols>
          <w:pgMar w:left="440" w:top="270" w:right="499" w:bottom="1440" w:gutter="0" w:footer="0" w:header="0"/>
        </w:sectPr>
      </w:pPr>
    </w:p>
    <w:bookmarkStart w:id="112" w:name="page113"/>
    <w:bookmarkEnd w:id="112"/>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further agrees that its obligations under this Article VIII shall continue to be effective or be reinstated, as the case may be, if at any time payment, or any part thereof, of any Obligation of any Borrowing Subsidiary is rescinded or must otherwise be restored by any Guaranteed Party upon the bankruptcy or reorganization of any Borrower or otherwise.</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any Guaranteed Party may have at law or in equity against the Company by virtue hereof, upon the failure of any Borrowing Subsidiary to pay any Obligation of such Borrowing Subsidiary when and as the same shall become due, whether at maturity, by acceleration, after notice of prepayment or otherwise, the Company hereby promises to and will, upon receipt of written demand by the Agent, forthwith pay, or cause to be paid, to the Agent for distribution to the applicable Guaranteed Parties in cash an amount equal to the unpaid principal amount of such Obligation. The Company further agrees that if payment in respect of any such Obligation shall be due in a currency other than US Dollars and/or at a place of payment other than New York and if, by reason of any legal prohibition, disruption of currency or foreign exchange markets, war or civil disturbance or other event, payment of such Obligation in such currency or at such place of payment shall be impossible or, in the reasonable judgment of any Guaranteed Party, not consistent with the protection of its rights or interests, then, at the election of such Guaranteed Party, the Company shall make payment of such Obligation in US Dollars (based upon the applicable Exchange Rate in effect on the date of payment) and/or in New York, and shall indemnify such Guaranteed Party against any losses or expenses (including losses or expenses resulting from fluctuations in exchange rates) that it shall sustain as a result of such alternative payment.</w:t>
      </w:r>
    </w:p>
    <w:p>
      <w:pPr>
        <w:spacing w:after="0" w:line="19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Upon payment in full by the Company of any Obligation of any Borrowing Subsidiary, each Guaranteed Party shall, in a reasonable manner, assign to the Company the amount of such Obligation owed to such Guaranteed Party and so paid, such assignment to be pro tanto to the extent to which the Obligation in question was discharged by the Company, or, if requested by the Company, make such disposition thereof as the Company shall direct (all without recourse to any Guaranteed Party and without any representation or warranty by any Guaranteed Party). Upon payment by the Company of any sums as provided above, all rights of the Company against any Borrowing Subsidiary arising as a result thereof by way of right of subrogation or otherwise shall in all respects be subordinated and junior in right of payment to the prior indefeasible payment in full of all the Obligations owed by such Borrowing Subsidiary to the Guaranteed Parties.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email, as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70" w:right="479" w:bottom="1440" w:gutter="0" w:footer="0" w:header="0"/>
        </w:sectPr>
      </w:pPr>
    </w:p>
    <w:bookmarkStart w:id="113" w:name="page114"/>
    <w:bookmarkEnd w:id="113"/>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if to the Company or any Borrowing Subsidiary, to it (or, in the case of a Borrowing Subsidiary, to it in care of the Company)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3005 Highland Parkway, Suite 200</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Downers Grove, IL 60515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Jim Moran, Treasurer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jmoran@dovercorp.com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3005 Highland Parkway, Suite 200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Downers Grove, IL 60515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Ivonne M. Cabrera, 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imc@dovercorp.com;</w:t>
      </w:r>
    </w:p>
    <w:p>
      <w:pPr>
        <w:spacing w:after="0" w:line="99" w:lineRule="exact"/>
        <w:rPr>
          <w:sz w:val="20"/>
          <w:szCs w:val="20"/>
          <w:color w:val="auto"/>
        </w:rPr>
      </w:pPr>
    </w:p>
    <w:p>
      <w:pPr>
        <w:ind w:left="1120" w:hanging="261"/>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Agent from any Borrower, to JPMorgan, at the address (or email) separately provided to the Company;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Agent from any Lender or Issuing Bank, to JPMorgan, at its address (or email) set forth in its Administrative Questionnaire;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440" w:right="120" w:firstLine="419"/>
        <w:spacing w:after="0" w:line="282" w:lineRule="auto"/>
        <w:tabs>
          <w:tab w:leader="none" w:pos="11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or any Issuing Bank, at its address, telephone number and email, as applicable, set forth in its Administrative Questionnaire.</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Any party hereto may change its address, telephone number or email for notices and other communications hereunder by notice to the other parties hereto (or, in the case of any change by a Lender or an Issuing Bank, by notice to the Company and the Agent).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and notices delivered through electronic communications to the extent provided in paragraph (b) of this Section shall be effective as provided in such paragraph.</w:t>
      </w:r>
    </w:p>
    <w:p>
      <w:pPr>
        <w:spacing w:after="0" w:line="68" w:lineRule="exact"/>
        <w:rPr>
          <w:sz w:val="20"/>
          <w:szCs w:val="20"/>
          <w:color w:val="auto"/>
        </w:rPr>
      </w:pPr>
    </w:p>
    <w:p>
      <w:pPr>
        <w:ind w:left="440" w:right="20" w:firstLine="419"/>
        <w:spacing w:after="0" w:line="255"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and the Issuing Banks hereunder may, in addition to email, be delivered or furnished by using Approved Electronic Platforms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under Article II to any Lender or Issuing Bank if such Lender or Issuing Bank has notified the Agent that it is incapable of receiving notices under such Article by such electronic communication. Any notices or other communications to the Agent, the Company or any Borrowing Subsidiary may, in addition to email, be delivered or furnished by other electronic communications (including Approved Borrower Portal) pursuant to procedures approved by the recipient thereof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or rescinded by any such Person by notice to each other such Person.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0"/>
          </w:cols>
          <w:pgMar w:left="440" w:top="270" w:right="479" w:bottom="1440" w:gutter="0" w:footer="0" w:header="0"/>
        </w:sectPr>
      </w:pPr>
    </w:p>
    <w:bookmarkStart w:id="114" w:name="page115"/>
    <w:bookmarkEnd w:id="114"/>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Approved Electronic Platform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 Waivers</w:t>
      </w:r>
      <w:r>
        <w:rPr>
          <w:rFonts w:ascii="Times New Roman" w:cs="Times New Roman" w:eastAsia="Times New Roman" w:hAnsi="Times New Roman"/>
          <w:sz w:val="18"/>
          <w:szCs w:val="18"/>
          <w:color w:val="auto"/>
        </w:rPr>
        <w:t>. No failure or delay by the Agent, any Lender or any Issuing Bank in exercising any right, power or privilege hereunder or under any other Loan Document shall operate as a waiver thereof nor shall any single or partial exercise thereof, or any abandonment or discontinuance of steps to enforce such a right or power, preclude any other or further exercise thereof or the exercise of any other right, power or privilege. The rights and remedies of the Agent, the Lenders and the Issuing Banks hereunder are cumulative and are not exclusive of any rights or remedies that they would otherwise have. No waiver of any provision of this Agreement or consent to any departure by any Borrower therefrom shall in any event be effective unless the same shall be permitted by Section 9.04,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Agent, any Lender or any Issuing Bank or any of their respective Affiliates may have had notice or knowledge of such Default at the time.</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Indemnification</w:t>
      </w:r>
      <w:r>
        <w:rPr>
          <w:rFonts w:ascii="Times New Roman" w:cs="Times New Roman" w:eastAsia="Times New Roman" w:hAnsi="Times New Roman"/>
          <w:sz w:val="18"/>
          <w:szCs w:val="18"/>
          <w:color w:val="auto"/>
        </w:rPr>
        <w:t>. (a) The Company shall pay (i) all reasonable and documented out-of-pocket expenses of the Agent and the Arrangers (limited, in the case of legal fees and expenses, to reasonable and documented fees and disbursements of one firm of counsel to the Agent and the Arrangers, taken as a whole, and, if reasonably necessary, one firm of counsel in each relevant jurisdiction (which may be a single local counsel acting multiple jurisdictions)), in connection with the syndication of the credit facility provided for herein, the preparation and administration of the Loan Documents, any waiver or consent under any Loan Document or any amendment hereof or thereof or any Default or alleged Default under any Loan Document and (ii) if an Event of Default occurs, all reasonable and documented out-of-pocket expenses incurred by the Agent, any Lender or any Issuing Bank (limited, in the case of legal fees and expenses, to reasonable and documented fees and disbursements of one firm of counsel (and, if reasonably necessary, one firm of counsel in each relevant jurisdiction (which may be a single local counsel acting multiple jurisdictions)) to the Agent, the Lenders and the Issuing Banks, taken as a whole, and, solely in the case of an actual or perceived conflict of interest, one additional firm of counsel (and, if necessary, one additional firm of local counsel in each relevant jurisdiction) to all affected Persons similarly situated), in connection with such Event of Default and collection, bankruptcy, insolvency and other enforcement proceedings resulting therefrom.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5" w:name="page116"/>
    <w:bookmarkEnd w:id="115"/>
    <w:p>
      <w:pPr>
        <w:ind w:right="20" w:firstLine="419"/>
        <w:spacing w:after="0" w:line="252" w:lineRule="auto"/>
        <w:tabs>
          <w:tab w:leader="none" w:pos="6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to indemnify the Agent, each Arranger, each Lender, each Issuing Bank and the respective Related Parties of the foregoing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and hold each Indemnitee harmless from and against any and all Liabilities and expenses (limited, in the case of legal fees and expenses, to reasonable and documented fees and disbursements of one firm of counsel (and, if reasonably necessary, one firm of counsel in each relevant jurisdiction (which may be a single local counsel acting multiple jurisdictions)) to all Indemnitees taken as a whole and, solely in the case of an actual or perceived conflict of interest, one additional firm of counsel (and, if necessary, one additional firm of local counsel in each relevant jurisdiction) to all affected Indemnitees similarly situated), which may be incurred by such Indemnitee in connection with any investigative, administrative or judicial proceeding (whether or not such Indemnitee or any other party to this Agreement shall be designated a party thereto, whether based on contract, tort or any other theory and regardless of whether initiated by an Indemnitee, any party hereto or any other Person) brought or threatened relating to or arising out of (i) any Loan Document or any actual or proposed use of proceeds of any Loan or Letter of Credit hereunder (including any refusal by any Issuing Bank to honor a demand for payment under a Letter of Credit if the documents presented in connection with such demand do not strictly comply with the terms of such Letter of Credit) or (ii) release of Hazardous Substances, or any other liability under applicable Environmental Law, relating to the Company, its Subsidiaries or their respective properties or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Indemnitee shall have the right to be indemnified hereunder for any such Liabilities or expenses to the extent incurred (A) as the result of any such Indemnitee’s (or its Related Parties) gross negligence or willful misconduct, as determined by the final judgment of a court of competent jurisdiction, or (B) by a Lender or its Related Parties in connection with a proceeding with any other Lender or any assignee or Participant that (x) arises in connection with an assignment, participation or other transfer pursuant to Section 9.05, (y) does not relate to any action taken or failed to be taken by any Borrower and (z) does not relate to any right or obligation of any Borrower.</w:t>
      </w:r>
    </w:p>
    <w:p>
      <w:pPr>
        <w:spacing w:after="0" w:line="85"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neither the Company nor any Borrowing Subsidiary shall assert, or permit any of its Affiliates or Related Parties to assert, and each hereby waives, any claim against any Lender-Related Person for any damages arising from the use by others of information or other materials (including personal data) obtained through telecommunications, electronic or other information transmission systems (including the Internet, any Approved Electronic Platform and any Approved Borrower Portal), except to the extent such damages arise from such Lender-Related Person’s gross negligence or willful misconduct, as determined by a court of competent jurisdiction in a final and nonappealable judgment (it being understood and agreed that the foregoing does not constitute a waiver of any claim or other right with respect to any breach by any Lender-Related Person of its obligations under Section 9.14). No party hereto, or any of its Related Parties, shall have any Liability, on any theory of Liability, for special, indirect, consequential or punitive damages (as opposed to direct or actual damages) arising out of, in connection with, or as a result of this Agreement, any other Loan Document or any agreement or instrument contemplated hereby or thereby, any Loan or Letter of Credit or the use of the proceeds thereof, and no party hereto shall assert,</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560"/>
          </w:cols>
          <w:pgMar w:left="880" w:top="270" w:right="459" w:bottom="1440" w:gutter="0" w:footer="0" w:header="0"/>
        </w:sectPr>
      </w:pPr>
    </w:p>
    <w:bookmarkStart w:id="116" w:name="page117"/>
    <w:bookmarkEnd w:id="116"/>
    <w:p>
      <w:pPr>
        <w:jc w:val="both"/>
        <w:ind w:left="4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permit any of its Affiliates or Related Parties to assert, and each hereby waives, any such Liability (it being understood and agreed that nothing in this sentence shall relieve the Company or the Borrowing Subsidiaries of their obligations under the preceding paragraphs of this Section 9.03 or any other indemnity or reimbursement provision set forth in any Loan Document).</w:t>
      </w:r>
    </w:p>
    <w:p>
      <w:pPr>
        <w:spacing w:after="0" w:line="68" w:lineRule="exact"/>
        <w:rPr>
          <w:sz w:val="20"/>
          <w:szCs w:val="20"/>
          <w:color w:val="auto"/>
        </w:rPr>
      </w:pPr>
    </w:p>
    <w:p>
      <w:pPr>
        <w:ind w:left="440" w:right="40" w:firstLine="419"/>
        <w:spacing w:after="0" w:line="254"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Borrowers fail to pay any amount required to be paid by them under paragraph (a) or (b) of this Section to the Agent (or any sub-agent thereof), any Issuing Bank or any Related Party of any of the foregoing (and without limiting their obligation to do so), each Lender severally agrees to pay to the Agent (or any such sub-agent), such Issuing Bank or such Related Party,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Agent (or such sub-agent) or such Issuing Bank in its capacity as such, or against any Related Party of any of the foregoing acting for the Agent (or any such sub-agent) or any Issuing Bank in connection with such capacity. For purposes of this Section, a Lender’s “pro rata share” shall be determined based upon its share of the sum of the total Credit Exposures and unused Commitments.</w:t>
      </w:r>
    </w:p>
    <w:p>
      <w:pPr>
        <w:spacing w:after="0" w:line="8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promptly after written demand therefor.</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Except as provided in Section 9.04(b), none of this Agreement, any other Loan Document or any provision hereof or thereof may be waived, amended or modified except, in the case of this Agreement, pursuant to an agreement or agreements in writing entered into by the Company, the Agent and the Required Lenders and, in the case of any other Loan Document, pursuant to an agreement or agreements in writing entered into by the Agent and the Borrower or Borrowers that are parties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provision of this Agreement or any other Loan Document may be amended by an agreement in writing entered into by the Company and the Agent to cure any ambiguity, omission, defect or inconsistency so long as, in each case, (A) such amendment does not adversely affect the rights of any Lender or (B) the Lenders shall have received at least five Business Days’ prior written notice thereof and the Agent shall not have received, within five Business Days of the date of such notice to the Lenders, a written notice from the Required Lenders stating that the Required Lenders object to such amendment and (ii) no such agreement shall (A) increase the Commitment of any Lender, or change the currency in which Loans are available thereunder, without the written consent of such Lender, (B) reduce the principal amount of any Loan or LC Disbursement, reduce the rate of interest thereon or reduce any fees payable hereunder without the written consent of each Lender affected thereby, (C) postpone the scheduled maturity date of any Loan or the required date of reimbursement of any LC Disbursement, or any date for the payment of any interest or fees payable hereunder, or permit the issuance of any Letter of Credit expiring after the Maturity Date, or reduce the amount of, waive or excuse any such payment, or postpone the scheduled date of expiration of any Commitment, without the written consent of each Lender affected thereby, (D) change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7" w:name="page118"/>
    <w:bookmarkEnd w:id="1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2.16(b) or 2.16(c) in a manner that would alter the pro rata sharing of payments required thereby without the written consent of each Lender,</w:t>
      </w:r>
    </w:p>
    <w:p>
      <w:pPr>
        <w:spacing w:after="0" w:line="27" w:lineRule="exact"/>
        <w:rPr>
          <w:sz w:val="20"/>
          <w:szCs w:val="20"/>
          <w:color w:val="auto"/>
        </w:rPr>
      </w:pPr>
    </w:p>
    <w:p>
      <w:pPr>
        <w:ind w:left="4" w:hanging="4"/>
        <w:spacing w:after="0" w:line="251" w:lineRule="auto"/>
        <w:tabs>
          <w:tab w:leader="none" w:pos="27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of the provisions of this Section or the percentage set forth in the definition of the term “Required Lenders” or any other provision of this Agreement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(F) release or limit the obligations of the Company in respect of its Guarantee under Article VIII, or (G) change any provisions of any Loan Document in a manner that by its terms adversely affects the rights in respect of payments due to Lenders holding Loans or participating in Letters of Credit of either Class differently than those holding Loans or participating in Letters of Credit of the other Class, without the written consent of Lenders representing a majority in interest of such affected Class;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(1) no such agreement shall amend, modify, extend or otherwise affect the rights or obligations of the Agent or any Issuing Bank without the prior written consent of the Agent or such Issuing Bank, as the case may be, and (2) any amendment, waiver or other modification of this Agreement that by its terms affects the rights or duties under this Agreement of the Lenders of one Class (but not the Lenders of the other Class) may be effected by an agreement or agreements in writing entered into by the Company and the percentage in interest of the affected Class of Lenders that would be required to consent thereto under this Section if such Class of Lenders were the only Class of Lenders hereunder at the time.</w:t>
      </w:r>
    </w:p>
    <w:p>
      <w:pPr>
        <w:spacing w:after="0" w:line="84"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paragraph (a) of this Section:</w:t>
      </w:r>
    </w:p>
    <w:p>
      <w:pPr>
        <w:spacing w:after="0" w:line="117" w:lineRule="exact"/>
        <w:rPr>
          <w:sz w:val="20"/>
          <w:szCs w:val="20"/>
          <w:color w:val="auto"/>
        </w:rPr>
      </w:pPr>
    </w:p>
    <w:p>
      <w:pPr>
        <w:ind w:left="444" w:firstLine="419"/>
        <w:spacing w:after="0" w:line="255" w:lineRule="auto"/>
        <w:tabs>
          <w:tab w:leader="none" w:pos="108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with respect to any amendment, waiver or other modification of this Agreement or any other Loan Document shall be required of (A) any Defaulting Lender, except with respect to any amendment, waiver or other modification referred to in clause (A), (B) or (C) of paragraph (a)(ii) of this Section and then only in the event such Defaulting Lender shall be affected by such amendment, waiver or other modification or (B) in the case of any amendment, waiver or other modification referred to in paragraph (a)(ii) of this Section, any Lender that receives payment in full of the principal of and interest accrued on each Loan made by, and all other amounts owing to, such Lender or accrued for the account of such Lender under this Agreement and the other Loan Documents at the time such amendment, waiver or other modification becomes effective and whose Commitments terminate by the terms and upon the effectiveness of such amendment, waiver or other modification;</w:t>
      </w:r>
    </w:p>
    <w:p>
      <w:pPr>
        <w:spacing w:after="0" w:line="80" w:lineRule="exact"/>
        <w:rPr>
          <w:rFonts w:ascii="Times New Roman" w:cs="Times New Roman" w:eastAsia="Times New Roman" w:hAnsi="Times New Roman"/>
          <w:sz w:val="18"/>
          <w:szCs w:val="18"/>
          <w:color w:val="auto"/>
        </w:rPr>
      </w:pPr>
    </w:p>
    <w:p>
      <w:pPr>
        <w:ind w:left="444" w:right="240" w:firstLine="419"/>
        <w:spacing w:after="0" w:line="266" w:lineRule="auto"/>
        <w:tabs>
          <w:tab w:leader="none" w:pos="113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Commitment of any Issuing Bank may be reduced or increased by an agreement between such Issuing Bank and the Company (such increase or decrease to become effective upon the delivery of a notice thereof, executed by such Issuing Bank and the Company, to the Agent);</w:t>
      </w:r>
    </w:p>
    <w:p>
      <w:pPr>
        <w:spacing w:after="0" w:line="6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in a manner provided in Sections 2.04(j), 2.04(k), 2.07(d), 2.07(e), 2.12(b) and 2.21(a);</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70" w:right="459" w:bottom="1440" w:gutter="0" w:footer="0" w:header="0"/>
        </w:sectPr>
      </w:pPr>
    </w:p>
    <w:bookmarkStart w:id="118" w:name="page119"/>
    <w:bookmarkEnd w:id="118"/>
    <w:p>
      <w:pPr>
        <w:ind w:left="440" w:right="320" w:firstLine="419"/>
        <w:spacing w:after="0" w:line="282" w:lineRule="auto"/>
        <w:tabs>
          <w:tab w:leader="none" w:pos="11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 of the definition of the term “Applicable Rate” pursuant to the last sentence of such definition shall require only the written consent of the Company and the Required Lenders; and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61" w:lineRule="auto"/>
        <w:tabs>
          <w:tab w:leader="none" w:pos="11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may be amended in the manner provided in Section 2.19 and, without limiting any amendment expressly permitted by Section 2.19, this Agreement (including the Exhibits hereto) may, in connection with any Borrowing Subsidiary becoming a party hereto, be amended by an agreement in writing entered into by the Company and the Agent to provide for such technical modifications as they determine to be necessary or advisable in connection therewith.</w:t>
      </w:r>
    </w:p>
    <w:p>
      <w:pPr>
        <w:spacing w:after="0" w:line="72" w:lineRule="exact"/>
        <w:rPr>
          <w:sz w:val="20"/>
          <w:szCs w:val="20"/>
          <w:color w:val="auto"/>
        </w:rPr>
      </w:pPr>
    </w:p>
    <w:p>
      <w:pPr>
        <w:ind w:left="440" w:right="420" w:firstLine="419"/>
        <w:spacing w:after="0" w:line="266" w:lineRule="auto"/>
        <w:tabs>
          <w:tab w:leader="none" w:pos="11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but shall have no obligation to, with the written consent of any Lender, execute amendments, waivers or other modifications on behalf of such Lender. Any amendment, waiver or other modification effected in accordance with this Section 9.04 shall be binding upon each Person that is at the time thereof a Lender and each Person that subsequently becomes a Lender.</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Subsidiary hereby acknowledges that any amendment, waiver or other modification to this Agreement or any other Loan Document may be effected as set forth in this Section 9.04, that no consent of such Borrowing Subsidiary shall be required to effect any such amendment, waiver or other modification and that such Borrowing Subsidiary shall be bound by this Agreement or any other Loan Document (if it is theretofore a party thereto) as so amended, waived or modified.</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except that (i) no Borrower may assign or otherwise transfer any of its rights under this Agreement without the prior written consent of all Lenders (and any attempted assignment or transfer by any Borrower without such consent shall be null and void), except, in the case of any Borrowing Subsidiary that merges or consolidates with the Company or another Borrowing Subsidiary, as expressly contemplated by Section 5.04 or 5.09, or as expressly contemplated by Section 5.09(b),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this Section), the Arrangers, the Syndication Agent, the Documentation Agents and, to the extent expressly contemplated hereby, the Agent Designees and the Related Parties of any of the Agent, the Arrangers, the Syndication Agent, the Documentation Agents, the sub-agents, the Lenders and the Issuing Banks) any legal or equitable right, remedy or claim under or by reason of this Agreement.</w:t>
      </w:r>
    </w:p>
    <w:p>
      <w:pPr>
        <w:spacing w:after="0" w:line="86" w:lineRule="exact"/>
        <w:rPr>
          <w:sz w:val="20"/>
          <w:szCs w:val="20"/>
          <w:color w:val="auto"/>
        </w:rPr>
      </w:pPr>
    </w:p>
    <w:p>
      <w:pPr>
        <w:ind w:left="440" w:right="60" w:firstLine="419"/>
        <w:spacing w:after="0" w:line="289" w:lineRule="auto"/>
        <w:tabs>
          <w:tab w:leader="none" w:pos="111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may, without the consent of the Company, the Agent, the Issuing Banks or any other Lender, at any time grant to one or more Eligible Assignees (each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participating interests in its Commitment or any or all of its Loans. In the event of any such grant by a Lender of a participating interest to a Participant, whether or not upon notice to the Company and the Agent, such Lender shall remain solely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responsible for the performance of its obligations hereunder, which obligations shall remain unchanged, and the Borrowers, the Agent, the Issuing Banks and the other Lenders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Borrowers hereunder, including, without limitation, the right to approve any amendment, modification or waiver of any provision of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participation agreement may provide that such Lender will not agree to any amendment, waiver or other modification of this Agreement or any other Loan Document described in clause (ii) of the first proviso to Section 9.04(a) without the consent of the Participant. Each Borrower agrees that each Participant shall, to the extent provided in its participation agreement, be entitled to the benefits of Sections 2.13, 2.14, 2.15 and 2.18 with respect to its participating interest (subject to the requirements and limitations therein, including the requirements under Section 2.15(f) (it being understood that the documentation required under Section 2.15(f) shall be delivered to the granting Lender)) to the same extent as if it were a Lender and had acquired its interest by assignment pursuant to paragraph (c)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the provisions of Sections 2.16 and 2.17 as if it were an assignee under paragraph (c) of this Section. Each Lender that sells a participation agrees, at the Company’s request and expense, to use reasonable efforts to cooperate with the Company to effectuate the provisions of Section 2.17(b) with respect to any Participant. An assignment or other transfer which is not permitted by paragraph (c) or (d) below shall be given effect for purposes of this Agreement only to the extent of a participating interest granted in accordance with this paragraph (b).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any Loan Document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Loans, Commitments or other obligations under this any Loan Document) to any Person except to the extent that such disclosure is necessary to establish that such Loans, Commitments or other obligations are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the Agent) shall have no responsibility for maintaining a Participant Register.</w:t>
      </w:r>
    </w:p>
    <w:p>
      <w:pPr>
        <w:spacing w:after="0" w:line="97" w:lineRule="exact"/>
        <w:rPr>
          <w:sz w:val="20"/>
          <w:szCs w:val="20"/>
          <w:color w:val="auto"/>
        </w:rPr>
      </w:pPr>
    </w:p>
    <w:p>
      <w:pPr>
        <w:ind w:firstLine="419"/>
        <w:spacing w:after="0" w:line="256" w:lineRule="auto"/>
        <w:tabs>
          <w:tab w:leader="none" w:pos="6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paragraph (c)(ii)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conditioned or delayed) of (A)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Company shall be required for assignments to an Affiliate of such Lender, any other Lender (other than a Defaulting Lender) or, if an Event of Default has occurred and is continuing, any Eligible Assignee, (B)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Agent shall be required for assignments to a Lender or an Affiliate of a Lender, and (C) each Issuing Bank.</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540"/>
          </w:cols>
          <w:pgMar w:left="880" w:top="270" w:right="479" w:bottom="1440" w:gutter="0" w:footer="0" w:header="0"/>
        </w:sectPr>
      </w:pPr>
    </w:p>
    <w:bookmarkStart w:id="120" w:name="page121"/>
    <w:bookmarkEnd w:id="120"/>
    <w:p>
      <w:pPr>
        <w:ind w:left="684" w:hanging="261"/>
        <w:spacing w:after="0"/>
        <w:tabs>
          <w:tab w:leader="none" w:pos="68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544" w:right="100" w:firstLine="408"/>
        <w:spacing w:after="0" w:line="258" w:lineRule="auto"/>
        <w:tabs>
          <w:tab w:leader="none" w:pos="123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Agent) shall not be less than US$5,000,000 unless each of the Company and the Agent otherwise consents;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Company shall be required if an Event of Default has occurred and is continuing;</w:t>
      </w:r>
    </w:p>
    <w:p>
      <w:pPr>
        <w:spacing w:after="0" w:line="75" w:lineRule="exact"/>
        <w:rPr>
          <w:rFonts w:ascii="Times New Roman" w:cs="Times New Roman" w:eastAsia="Times New Roman" w:hAnsi="Times New Roman"/>
          <w:sz w:val="18"/>
          <w:szCs w:val="18"/>
          <w:color w:val="auto"/>
        </w:rPr>
      </w:pPr>
    </w:p>
    <w:p>
      <w:pPr>
        <w:ind w:left="544" w:right="840" w:firstLine="408"/>
        <w:spacing w:after="0" w:line="282" w:lineRule="auto"/>
        <w:tabs>
          <w:tab w:leader="none" w:pos="122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53" w:lineRule="exact"/>
        <w:rPr>
          <w:rFonts w:ascii="Times New Roman" w:cs="Times New Roman" w:eastAsia="Times New Roman" w:hAnsi="Times New Roman"/>
          <w:sz w:val="18"/>
          <w:szCs w:val="18"/>
          <w:color w:val="auto"/>
        </w:rPr>
      </w:pPr>
    </w:p>
    <w:p>
      <w:pPr>
        <w:ind w:left="544" w:right="40" w:firstLine="408"/>
        <w:spacing w:after="0" w:line="266" w:lineRule="auto"/>
        <w:tabs>
          <w:tab w:leader="none" w:pos="122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Agent an Assignment and Assumption (or an agreement incorporating by reference a form of Assignment and Assumption posted on an Approved Electronic Platform), together with a processing and recordation fee of US$3,500;</w:t>
      </w:r>
    </w:p>
    <w:p>
      <w:pPr>
        <w:spacing w:after="0" w:line="67" w:lineRule="exact"/>
        <w:rPr>
          <w:rFonts w:ascii="Times New Roman" w:cs="Times New Roman" w:eastAsia="Times New Roman" w:hAnsi="Times New Roman"/>
          <w:sz w:val="18"/>
          <w:szCs w:val="18"/>
          <w:color w:val="auto"/>
        </w:rPr>
      </w:pPr>
    </w:p>
    <w:p>
      <w:pPr>
        <w:ind w:left="544" w:right="180" w:firstLine="408"/>
        <w:spacing w:after="0" w:line="261" w:lineRule="auto"/>
        <w:tabs>
          <w:tab w:leader="none" w:pos="123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 and</w:t>
      </w:r>
    </w:p>
    <w:p>
      <w:pPr>
        <w:spacing w:after="0" w:line="71" w:lineRule="exact"/>
        <w:rPr>
          <w:rFonts w:ascii="Times New Roman" w:cs="Times New Roman" w:eastAsia="Times New Roman" w:hAnsi="Times New Roman"/>
          <w:sz w:val="18"/>
          <w:szCs w:val="18"/>
          <w:color w:val="auto"/>
        </w:rPr>
      </w:pPr>
    </w:p>
    <w:p>
      <w:pPr>
        <w:jc w:val="both"/>
        <w:ind w:left="544" w:right="640" w:firstLine="408"/>
        <w:spacing w:after="0" w:line="266" w:lineRule="auto"/>
        <w:tabs>
          <w:tab w:leader="none" w:pos="121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assignee is not incorporated under the laws of the United States of America or a State thereof, it shall deliver to the Company and the Agent certification as to exemption from deduction or withholding of any United States federal income taxes in accordance with Section 2.15.</w:t>
      </w:r>
    </w:p>
    <w:p>
      <w:pPr>
        <w:spacing w:after="0" w:line="67"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all requirements of this Section, including the acceptance and recording thereof pursuant to paragraph (c)</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from and after the effective date specified in each Assignment and Assumption (or an agreement incorporating by reference a form of Assignment and Assumption posted on an Approved Electronic Platform)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564"/>
          </w:cols>
          <w:pgMar w:left="876" w:top="270" w:right="459" w:bottom="1440" w:gutter="0" w:footer="0" w:header="0"/>
        </w:sectPr>
      </w:pPr>
    </w:p>
    <w:bookmarkStart w:id="121" w:name="page122"/>
    <w:bookmarkEnd w:id="12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covering all the assigning Lender’s rights and obligations under this Agreement, such Lender shall cease to be a party hereto but shall continue to be entitled to the benefits of Sections 2.13, 2.14, 2.15 and 2.18 (in each case, with respect to facts and circumstances occurring on or prior to the effective date of such assignment) and of Section 9.03).</w:t>
      </w:r>
    </w:p>
    <w:p>
      <w:pPr>
        <w:spacing w:after="0" w:line="68" w:lineRule="exact"/>
        <w:rPr>
          <w:sz w:val="20"/>
          <w:szCs w:val="20"/>
          <w:color w:val="auto"/>
        </w:rPr>
      </w:pPr>
    </w:p>
    <w:p>
      <w:pPr>
        <w:ind w:right="140" w:firstLine="419"/>
        <w:spacing w:after="0" w:line="255" w:lineRule="auto"/>
        <w:tabs>
          <w:tab w:leader="none" w:pos="72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acting solely for this purpose as a non-fiduciary agent of the Borrowers, shall maintain at one of its offices a copy of each Assignment and Assumption delivered to it that records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Borrowers and any Issuing Bank or Lender, at any reasonable time and from time to time upon reasonable prior notice.</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the Agent of an Assignment and Assumption (or an agreement incorporating by reference a form of Assignment and Assumption posted on an Approved Electronic Platform) executed by an assigning Lender and an assignee, the assignee’s completed Administrative Questionnaire (unless the assignee shall already be a Lender hereunder) and the processing and recordation fee referred to in this Section, the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not be required to accept such Assignment and Assumption or so record the information contained therein if the Agent reasonably believes that such Assignment and Assumption lacks any written consent required by this Section or is otherwise not in proper form, it being acknowledged that the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paragraph, and following such recording, unless otherwise determined by the Agent (such determination to be made in the sole discretion of the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(or an agreement incorporating by reference a form of Assignment and Assumption posted on an Approved Electronic Platform), shall be deemed to have represented to the Agent that all written consents required by this Section with respect thereto (other than the consent of the Agent) have been obtained and that such Assignment and Assumption is otherwise duly completed and in proper form, and each assignee, by its execution and delivery of an Assignment and Assumption (or an agreement incorporating by reference a form of Assignment and Assumption posted on an Approved Electronic Platform), shall be deemed to have represented to the assigning Lender and the Agent that such assignee is an Eligible Assignee and that it shall have complied with the requirements of clause (E) of paragraph (c)(ii) of this Section.</w:t>
      </w:r>
    </w:p>
    <w:p>
      <w:pPr>
        <w:spacing w:after="0" w:line="1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500"/>
          </w:cols>
          <w:pgMar w:left="880" w:top="270" w:right="519" w:bottom="1440" w:gutter="0" w:footer="0" w:header="0"/>
        </w:sectPr>
      </w:pPr>
    </w:p>
    <w:bookmarkStart w:id="122" w:name="page123"/>
    <w:bookmarkEnd w:id="122"/>
    <w:p>
      <w:pPr>
        <w:ind w:left="440" w:right="160" w:firstLine="419"/>
        <w:spacing w:after="0" w:line="261" w:lineRule="auto"/>
        <w:tabs>
          <w:tab w:leader="none" w:pos="11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may at any time pledge or assign all or any portion of its rights under this Agreement to secure obligations of such Lender, including any pledge or assignment to secure obligations to a Federal Reserve Bank or any central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the transferor Lender from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Agreement to the contrary, no assignee or Participant of any Lender’s rights shall be entitled to receive any greater payment under Section 2.13 or 2.15 than such Lender would have been entitled to receive with respect to the rights transferred, unless (i) such entitlement to receive a greater payment results from a Change in Law that occurs after the applicable participation or interest was acquired, (ii) such transfer is made with the Company’s prior written consent or (iii) by reason of the provisions of Section 2.18 requiring such Lender to designate a different applicable lending office under certain circumstances.</w:t>
      </w:r>
    </w:p>
    <w:p>
      <w:pPr>
        <w:spacing w:after="0" w:line="183" w:lineRule="exact"/>
        <w:rPr>
          <w:sz w:val="20"/>
          <w:szCs w:val="20"/>
          <w:color w:val="auto"/>
        </w:rPr>
      </w:pPr>
    </w:p>
    <w:p>
      <w:pPr>
        <w:ind w:right="2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9.06. </w:t>
      </w: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Each of the Lenders represents to the Agent and each of the other Lenders that it in good faith is not relying upon any “margin stock” (as defined in Regulation U) as collateral in the extension or maintenance of the credit provided for in this Agreement.</w:t>
      </w:r>
    </w:p>
    <w:p>
      <w:pPr>
        <w:spacing w:after="0" w:line="14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Governing Law; Submission to Jurisdiction; Consent to Service of Process</w:t>
      </w:r>
      <w:r>
        <w:rPr>
          <w:rFonts w:ascii="Times New Roman" w:cs="Times New Roman" w:eastAsia="Times New Roman" w:hAnsi="Times New Roman"/>
          <w:sz w:val="18"/>
          <w:szCs w:val="18"/>
          <w:color w:val="auto"/>
        </w:rPr>
        <w:t>. (a) This Agreement and any claims, controversies, disputes or causes of action (whether in contract or tort or otherwise and in law or in equity) based upon, arising out of or relating to this Agreement or the transactions contemplated hereby, and the rights and obligations of the parties hereto shall be governed by and construed in accordance with the laws of the State of New York.</w:t>
      </w:r>
    </w:p>
    <w:p>
      <w:pPr>
        <w:spacing w:after="0" w:line="72" w:lineRule="exact"/>
        <w:rPr>
          <w:sz w:val="20"/>
          <w:szCs w:val="20"/>
          <w:color w:val="auto"/>
        </w:rPr>
      </w:pPr>
    </w:p>
    <w:p>
      <w:pPr>
        <w:ind w:left="440" w:right="60" w:firstLine="419"/>
        <w:spacing w:after="0" w:line="253"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Borrowers, the Lenders, the Issuing Banks and the Agent hereby irrevocably and unconditionally submits, for itself and its property, to the jurisdiction of the United States District Court for the Southern District of New York and of the Supreme Court of the State of New York, in each case, sitting in New York County, or any appellate court from any thereof, for purposes of all legal proceedings arising out of or relating to this Agreement, any other Loan Document or the transactions contemplated hereby or thereby, or for recognition or enforcement of any judgment, and each of the Borrowers, the Lenders, the Issuing Banks and the Agent hereby irrevocably and unconditionally agrees that all claims arising out of or relating to this Agreement or the other Loan Documents brought by it or any of its Affiliates shall be brought, and shall be heard and determined, exclusively in such New York State court or, to the extent permitted by law, in such Federal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claim brought by any Lender or Issuing Bank or the Agent, or any Affiliate of any of the foregoing, in respect of any such claim relating to a Borrowing Subsidiary that is incorporated in, or conducts business in, a jurisdiction outside the United States may be brought, and may be heard and determined, in a court in the jurisdiction 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23" w:name="page124"/>
    <w:bookmarkEnd w:id="123"/>
    <w:p>
      <w:pPr>
        <w:ind w:left="44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such Borrowing Subsidiary is incorporated or conducts business. Each of the Borrowers, the Lenders and the Agent agrees that a final judgment in any such proceeding shall be conclusive and may be enforced in other jurisdictions by suit on the judgment or in any other manner provided by law.</w:t>
      </w:r>
    </w:p>
    <w:p>
      <w:pPr>
        <w:spacing w:after="0" w:line="68" w:lineRule="exact"/>
        <w:rPr>
          <w:sz w:val="20"/>
          <w:szCs w:val="20"/>
          <w:color w:val="auto"/>
        </w:rPr>
      </w:pPr>
    </w:p>
    <w:p>
      <w:pPr>
        <w:ind w:left="440" w:right="20" w:firstLine="419"/>
        <w:spacing w:after="0" w:line="266" w:lineRule="auto"/>
        <w:tabs>
          <w:tab w:leader="none" w:pos="11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Borrowers, the Lenders, the Issuing Banks and the Agent hereby irrevocably and unconditionally waives, to the fullest extent permitted by law, any objection which it may now or hereafter have to the laying of the venue of any such proceeding brought in a court referred to in paragraph (b) above and any claim that any such proceeding brought in such a court has been brought in an inconvenient forum.</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Borrowers, the Lenders, the Issuing Banks and the Agent hereby irrevocably consents to service of process in the manner provided for notices in Section 9.01(a). Nothing in this Agreement or any other Loan Document will affect the right of any party to this Agreement to serve process in any other manner permitted by law.</w:t>
      </w:r>
    </w:p>
    <w:p>
      <w:pPr>
        <w:spacing w:after="0" w:line="6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Subsidiary hereby irrevocably designates, appoints and empowers the Company as, and the Company hereby accepts the same and agrees to act as, its designee, appointee and agent to receive, accept and acknowledge for and on its behalf, and in respect of its property, service of any and all legal process, summons, notices and documents that may be served in any such action or proceeding arising out of or relating to this Agreement or any other Loan Document. Such service may be made by mailing or delivering a copy of such process to any Borrowing Subsidiary in care of the Company at the Company’s address used for purposes of giving notices under Section 9.01, and each Borrowing Subsidiary hereby irrevocably authorizes and directs the Company to accept such service on its behalf.</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8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Borrowing Subsidiary or any of its assets has or hereafter acquires, in any jurisdiction in which judicial proceedings may at any time be commenced with respect to this Agreement or any other Loan Document, any immunity from jurisdiction, legal proceedings, attachment (whether before or after judgment), execution, judgment or setoff, such Borrowing Subsidiary hereby irrevocably agrees not to claim and hereby irrevocably and unconditionally waives such immunity.</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(a) This Agreement may be signed in any number of counterparts (and by different parties hereto on different counterparts), each of which shall be an original, with the same effect as if the signatures thereto and hereto were upon the same instrument. This Agreement and the other Loan Documents constitute the entire agreement and understanding among the parties hereto relating to the subject matter hereof and supersede any and all prior agreements and understandings, oral or written, relating to the subject matter hereof, including the commitments of the Lenders and, if applicable, their Affiliates under the commitment letter entered into in connection with the credit facility established hereby and any commitment advices submitted by them (but do not supersede any other provisions of such commitment letter or any fee letter referred to therein that do not by the terms of such documents terminate upon the effectiveness of this Agreement, all of which provisions shall remain in full force and effect). This Agreement shall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24" w:name="page125"/>
    <w:bookmarkEnd w:id="124"/>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become effective on the date on which the Agent has received counterparts hereof signed by each of the parties hereto (or, in the case of any party as to which an executed counterpart shall not have been received, written confirmation from such party in form satisfactory to the Agent of the execution of a counterpart hereof by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effectiveness of this Agreement is subject to the satisfaction or waiver of the conditions set forth in Section 4.01.</w:t>
      </w:r>
    </w:p>
    <w:p>
      <w:pPr>
        <w:spacing w:after="0" w:line="72" w:lineRule="exact"/>
        <w:rPr>
          <w:sz w:val="20"/>
          <w:szCs w:val="20"/>
          <w:color w:val="auto"/>
        </w:rPr>
      </w:pPr>
    </w:p>
    <w:p>
      <w:pPr>
        <w:ind w:left="440" w:firstLine="419"/>
        <w:spacing w:after="0" w:line="251" w:lineRule="auto"/>
        <w:tabs>
          <w:tab w:leader="none" w:pos="11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document to be signed in connection with this Agreement and the transactions contemplated hereby shall be deemed to include Electronic Signatures, deliveries or the keeping of records in electronic form (including deliveries by email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Agent shall not be under any obligation to agree to accept Electronic Signatures in any form or in any format unless expressly agreed to by the Agent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(x) to the extent the Agent has agreed to accept any Electronic Signature, the Agent and each of the Lenders and Issuing Banks shall be entitled to rely on such Electronic Signature purportedly given by or on behalf of any Borrower without further verification thereof and without any obligation to review the appearance or form of any such Electronic Signature and (y) upon the request of the Agent, any Lender or any Issuing Bank, any Electronic Signature shall be promptly followed by a manually executed counterpart. Without limiting the generality of the foregoing, each Borrower hereby (a) agrees that, for all purposes, including in connection with any workout, restructuring, enforcement of remedies, bankruptcy proceedings or litigation among the Agent, the Lenders, the Issuing Banks and any Borrower, Electronic Signatures transmitted by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Agent and each of the Lenders and Issuing Banks may, at its option, create one or more copies of this Agreement, any other Loan Document and/or any Ancillary Document in the form of an imaged electronic record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25" w:name="page126"/>
    <w:bookmarkEnd w:id="125"/>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Agent’s and/or any Lender’s or Issuing Bank’s reliance on or use of Electronic Signatures and/or transmissions by emailed .pdf or any other electronic means that reproduces an image of an actual executed signature page, including any Liabilities arising as a result of the failure of any Borrower to use any available security measures in connection with the execution, delivery or transmission of any Electronic Signature.</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Sections 2.13, 2.14, 2.15, 2.18 and 9.03 and Articles VII and VIII shall survive the consummation of the transactions contemplated hereby, the repayment of the Loans, resignation or replacement of the Agent or any assignment of rights by, or the replacement of, a Lender, the expiration or termination of the Letters of Credit and the Commitments or the termination of this Agreement or any provision hereof. Notwithstanding anything to the contrary set forth in this Agreement or any other Loan Document, in the event that an Issuing Bank shall have provided to the Agent a written consent to the release of the Lenders from their obligations hereunder with respect to any Letter of Credit issued by such Issuing Bank (whether as a result of the obligations of the applicable Borrower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(including for purposes of determining whether the Company is required to comply with Article V hereof, but excluding Sections 2.13, 2.14, 2.15, 2.18 and 9.03 and any expense reimbursement or indemnity provisions set forth in any other Loan Document), and the Lenders shall be deemed to have no participations in such Letter of Credit, and no obligations with respect thereto, under Section 2.04(d) or 2.04(f).</w:t>
      </w:r>
    </w:p>
    <w:p>
      <w:pPr>
        <w:spacing w:after="0" w:line="19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BORROWERS, THE AGENT, THE ISSUING BANKS AND THE LENDERS HEREBY IRREVOCABLY WAIVES ANY AND ALL RIGHT TO TRIAL BY JURY IN ANY LEGAL PROCEEDING DIRECTLY OR INDIRECTLY ARISING OUT OF OR RELATING TO THIS AGREEMENT OR ANY OTHER LOAN DOCUMENT OR THE TRANSACTIONS CONTEMPLATED HEREBY (WHETHER BASED ON CONTRACT, TORT OR ANY OTHER THEORY). EACH OF THE BORROWERS, THE AGENT, THE ISSUING BANKS AND THE LENDERS (A) CERTIFIES THAT NO REPRESENTATIVE, AGENT OR ATTORNEY OF ANY OTHER PARTY HERETO HAS REPRESENTED, EXPRESSLY OR OTHERWISE, THAT SUCH OTHER PARTY HERETO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26" w:name="page127"/>
    <w:bookmarkEnd w:id="126"/>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9.11. </w:t>
      </w:r>
      <w:r>
        <w:rPr>
          <w:rFonts w:ascii="Times New Roman" w:cs="Times New Roman" w:eastAsia="Times New Roman" w:hAnsi="Times New Roman"/>
          <w:sz w:val="18"/>
          <w:szCs w:val="18"/>
          <w:u w:val="single" w:color="auto"/>
          <w:color w:val="auto"/>
        </w:rPr>
        <w:t>Conversion of Currencies.</w:t>
      </w:r>
      <w:r>
        <w:rPr>
          <w:rFonts w:ascii="Times New Roman" w:cs="Times New Roman" w:eastAsia="Times New Roman" w:hAnsi="Times New Roman"/>
          <w:sz w:val="18"/>
          <w:szCs w:val="18"/>
          <w:color w:val="auto"/>
        </w:rPr>
        <w:t xml:space="preserve"> (a) If, for the purpose of obtaining judgment in any court, it is necessary to convert a sum owing hereunder in one currency into another currency, each party hereto (including any Borrowing Subsidiary)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 The obligations of each Borrower in respect of any sum due to any party hereto or any holder of the obligations owing hereunder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Creditor</w:t>
      </w:r>
      <w:r>
        <w:rPr>
          <w:rFonts w:ascii="Times New Roman" w:cs="Times New Roman" w:eastAsia="Times New Roman" w:hAnsi="Times New Roman"/>
          <w:sz w:val="17"/>
          <w:szCs w:val="17"/>
          <w:color w:val="auto"/>
        </w:rPr>
        <w:t>”)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the currency in which such sum is</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stated to be due hereunder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Creditor of any sum adjudged to be so due in the Judgment Currency, the Applicable Creditor may in accordance with normal banking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procedures in the relevant jurisdiction purchase the Agreement Currency with the Judgment Currency; if the amount of the Agreement Currency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which may be so purchased is less than the sum originally due to the Applicable Creditor in the Agreement Currency, such Borrower agrees, as 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separate obligation and notwithstanding any such judgment, to indemnify the Applicable Creditor against such loss. The obligations of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Borrowers contained in this Section 9.11 shall survive the termination of this Agreement and the payment of all other amounts owing hereunder.</w:t>
      </w:r>
    </w:p>
    <w:p>
      <w:pPr>
        <w:spacing w:after="0" w:line="20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92" w:lineRule="exact"/>
        <w:rPr>
          <w:sz w:val="20"/>
          <w:szCs w:val="20"/>
          <w:color w:val="auto"/>
        </w:rPr>
      </w:pPr>
    </w:p>
    <w:p>
      <w:pPr>
        <w:jc w:val="both"/>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Each Lender hereby notifies the Borrowers that pursuant to the requirements of the USA Patriot Act and/or the Beneficial Ownership Regulation, it is required to obtain, verify and record information that identifies the Borrowers, which information includes the name and address of the Borrowers and other information that will allow such Lender to identify the Borrowers in accordance with the requirements of the USA Patriot Act and the Beneficial Ownership Regulation.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27" w:name="page128"/>
    <w:bookmarkEnd w:id="127"/>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Agent and the Lenders agrees to maintain the confidentiality of the Information (as defined below), except that Information may be disclosed (a) to its and its Affiliates’ Related Parties, including accountants, legal counsel and other advisors (it being understood that the Persons to whom such disclosure is made will be informed of the confidential nature of such Information and instructed to keep such Information confidential or shall be subject to a professional or employment obligation of confidentiality applying to the Information), (b) to the extent required by any regulatory authority, (c) to the extent required by applicable laws or regulations or by any subpoena or similar legal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promptly as practicable after receipt thereof the Agent or such Lender shall notify the Company of the receipt of such subpoena or other legal process if permitted by applicable law,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their respective advisors in connection with such transaction, (ii) an actual or prospective credit insurance provider or to such provider’s advisors or (iii) any actual or prospective counterparty to any swap, derivative or other transaction relating to the Borrower, any Borrowing Subsidiary and its obligations or to such counterparty’s advisors in connection with such transaction, this Agreement or payments hereunder, (g) with the consent of the Company, (h) to the extent such Information (i) becomes publicly available other than as a result of a breach of this Section, (ii) becomes available to the Agent or any Lender on a nonconfidential basis from a source other than the Borrowers or (iii) is independently developed by the Agent or any Lender without reference to the Information and (i) on a confidential basis to the CUSIP Service Bureau or any similar agency in connection with the issuance and monitoring of CUSIP numbers with respect to the credit facilities provided for herein.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Borrowers relating to the Borrowers or their business, other than (i) any such information that is available to the Agent, any Lender or any Issuing Bank on a nonconfidential basis prior to disclosure by the Borrowers and (ii) information as to the existence and purpose of this Agreement, the nature and amount of the credit facilities established hereby and the titles and roles of JPMorgan and the Arrangers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Nothing in any Loan Document shall prevent disclosure of any confidential information or other matter to the extent that preventing that disclosure would otherwise cause any transaction contemplated by the Loan Documents, or any transaction carried out in connection with any transaction contemplated thereby, to become an arrangement described in Part II A 1 of Annex IV of Directive 2011/16/EU. For the avoidance of doubt, nothing herein prohibits any individual from communicating or disclosing information regarding suspected violations of laws, rules or regulations to a Governmental Authority or self-regulatory authority without any notification to any Person.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440" w:top="270" w:right="439" w:bottom="1440" w:gutter="0" w:footer="0" w:header="0"/>
        </w:sectPr>
      </w:pPr>
    </w:p>
    <w:bookmarkStart w:id="128" w:name="page129"/>
    <w:bookmarkEnd w:id="12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9.15.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Borrowers agree that in connection with all aspects of the transactions contemplated hereby and any communications in connection therewith, the Borrowers, their Subsidiaries and their Affiliates, on the one hand, and the Agent, the Syndication Agent, the Documentation Agents, the Lenders, the Issuing Banks and their Affiliates, on the other hand, will have a business relationship that does not create, by implication or otherwise, any fiduciary duty on the part of the Agent, the Syndication Agent, the Documentation Agents, the Lenders, the Issuing Banks or their Affiliates, and no such duty will be deemed to have arisen in connection with any such transactions or communications. The Borrowers understand that the Agent, the Lenders, the Issuing Banks and their Affiliates may have economic interests that conflict with those of the Borrowers. To the fullest extent permitted by law, the Borrowers hereby agree not to assert any claims against any of the Agent, the Arrangers, the Syndication Agent, the Documentation Agents, the Lenders or the Issuing Banks or their respective Affiliates with respect to any breach or alleged breach of agency or fiduciary duty in connection with any aspect of any transaction contemplated hereby.</w:t>
      </w:r>
    </w:p>
    <w:p>
      <w:pPr>
        <w:spacing w:after="0" w:line="188"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xml:space="preserve"> (a) Each Lender acknowledges that all information, including requests for waivers and amendments, furnished by any Borrower or the Agent pursuant to or in connection with, or in the course of administering, this Agreement will be syndicate-level information, which may contain MNPI. Each Lender represents to the Borrowers and the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spacing w:after="0" w:line="79" w:lineRule="exact"/>
        <w:rPr>
          <w:sz w:val="20"/>
          <w:szCs w:val="20"/>
          <w:color w:val="auto"/>
        </w:rPr>
      </w:pPr>
    </w:p>
    <w:p>
      <w:pPr>
        <w:ind w:left="440" w:right="40" w:firstLine="419"/>
        <w:spacing w:after="0" w:line="254" w:lineRule="auto"/>
        <w:tabs>
          <w:tab w:leader="none" w:pos="11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each Lender acknowledge that, if information furnished by the Borrowers pursuant to or in connection with this Agreement is being distributed by the Agent through an Approved Electronic Platform, (i) the Agent may post any information that any Borrower has indicated as containing MNPI solely on that portion of an Approved Electronic Platform as is designated for Private Side Lender Representatives and (ii) if the Borrowers have not indicated whether any information furnished by any of them pursuant to or in connection with this Agreement contains MNPI, the Agent reserves the right to post such information solely on that portion of an Approved Electronic Platform as is designated for Private Side Lender Representatives. Each of the Borrowers agrees to specify whether any information furnished by such Borrower to the Agent pursuant to, or in connection with, this Agreement contains MNPI, and the Agent shall be entitled to rely on any such specification by the Borrowers without liability or responsibility for the independent verification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29" w:name="page130"/>
    <w:bookmarkEnd w:id="129"/>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9.19.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Issuing Bank, or by such an Affiliate, to or for the credit or the account of any Borrower against any of and all the obligations then due of such Borrower now or hereafter existing under this Agreement held by such Lender or Issuing Bank, irrespective of whether or not such Lender or Issuing Bank shall have made any demand under this Agreement. The rights of each Lender and Issuing Bank, and each Affiliate of any of the foregoing, under this Section are in addition to other rights and remedies (including other rights of setoff) that such Lender, Issuing Bank or Affiliate may have.</w:t>
      </w:r>
    </w:p>
    <w:p>
      <w:pPr>
        <w:spacing w:after="0" w:line="19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Termination of Existing Five-Year Credit Agreement</w:t>
      </w:r>
      <w:r>
        <w:rPr>
          <w:rFonts w:ascii="Times New Roman" w:cs="Times New Roman" w:eastAsia="Times New Roman" w:hAnsi="Times New Roman"/>
          <w:sz w:val="18"/>
          <w:szCs w:val="18"/>
          <w:color w:val="auto"/>
        </w:rPr>
        <w:t>. On the Effective Date, the Existing Five-Year Credit Agreement (including the “Commitments” thereunder, but excluding Sections 2.13, 2.14, 2.15, 2.18 and 9.03 and Articles VII and VIII thereof insofar as they relate to events prior to the Effective Date) shall be terminated pursuant to Section 2.09 thereof. The undersigned Lenders, constituting at least the “Required Lenders” under and as defined in the Existing Five-Year Credit Agreement, waive that notice required under such Section 2.09 for such termination be given prior to the prepayment of loans or commitments thereunder.</w:t>
      </w:r>
    </w:p>
    <w:p>
      <w:pPr>
        <w:spacing w:after="0" w:line="183"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to the extent such liability is unsecured, may be subject to the Write-Down and Conversion Powers of a Resolution Authority and agrees and consents to, and acknowledges to be bound by:</w:t>
      </w:r>
    </w:p>
    <w:p>
      <w:pPr>
        <w:spacing w:after="0" w:line="72" w:lineRule="exact"/>
        <w:rPr>
          <w:sz w:val="20"/>
          <w:szCs w:val="20"/>
          <w:color w:val="auto"/>
        </w:rPr>
      </w:pPr>
    </w:p>
    <w:p>
      <w:pPr>
        <w:ind w:left="440" w:right="60" w:firstLine="419"/>
        <w:spacing w:after="0" w:line="282" w:lineRule="auto"/>
        <w:tabs>
          <w:tab w:leader="none" w:pos="110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 by any Resolution Authority to any such liabilities arising hereunder that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 (i) a reduction in full or in part or cancelation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Resolution Authority.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30" w:name="page131"/>
    <w:bookmarkEnd w:id="130"/>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9.22.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(a)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1" w:lineRule="exact"/>
        <w:rPr>
          <w:sz w:val="20"/>
          <w:szCs w:val="20"/>
          <w:color w:val="auto"/>
        </w:rPr>
      </w:pPr>
    </w:p>
    <w:p>
      <w:pPr>
        <w:ind w:left="440" w:right="40" w:firstLine="419"/>
        <w:spacing w:after="0" w:line="253"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1" w:name="page132"/>
    <w:bookmarkEnd w:id="13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DOVER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B. Woenker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Christopher B. Woenker</w:t>
      </w:r>
    </w:p>
    <w:p>
      <w:pPr>
        <w:spacing w:after="0" w:line="23" w:lineRule="exact"/>
        <w:rPr>
          <w:sz w:val="20"/>
          <w:szCs w:val="20"/>
          <w:color w:val="auto"/>
        </w:rPr>
      </w:pPr>
    </w:p>
    <w:p>
      <w:pPr>
        <w:ind w:left="3760" w:firstLine="3119"/>
        <w:spacing w:after="0" w:line="433" w:lineRule="auto"/>
        <w:rPr>
          <w:sz w:val="20"/>
          <w:szCs w:val="20"/>
          <w:color w:val="auto"/>
        </w:rPr>
      </w:pPr>
      <w:r>
        <w:rPr>
          <w:rFonts w:ascii="Times New Roman" w:cs="Times New Roman" w:eastAsia="Times New Roman" w:hAnsi="Times New Roman"/>
          <w:sz w:val="18"/>
          <w:szCs w:val="18"/>
          <w:color w:val="auto"/>
        </w:rPr>
        <w:t>Title: Senior Vice President and Chief Financial Officer [Signature Page to Five-Year Credit Agreement]</w:t>
      </w:r>
    </w:p>
    <w:p>
      <w:pPr>
        <w:sectPr>
          <w:pgSz w:w="11900" w:h="16838" w:orient="portrait"/>
          <w:cols w:equalWidth="0" w:num="1">
            <w:col w:w="10900"/>
          </w:cols>
          <w:pgMar w:left="440" w:top="270" w:right="55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in its individual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capacity and as the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Will Price</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[Signature Page to Five-Year Credit Agreement]</w:t>
      </w:r>
    </w:p>
    <w:p>
      <w:pPr>
        <w:sectPr>
          <w:pgSz w:w="11900" w:h="16838" w:orient="portrait"/>
          <w:cols w:equalWidth="0" w:num="1">
            <w:col w:w="9420"/>
          </w:cols>
          <w:pgMar w:left="1440" w:top="270" w:right="10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Oscar D. Cortez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Oscar D. Cortez</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020"/>
          </w:cols>
          <w:pgMar w:left="1440" w:top="270" w:right="4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 HSBC BANK USA,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Casey Klepsch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Casey Klepsch</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10020"/>
          </w:cols>
          <w:pgMar w:left="1440" w:top="270" w:right="4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ING BANK N.V., DUBLIN BRANCH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O’Donoghue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O’Donoghue</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020"/>
          </w:cols>
          <w:pgMar w:left="1440" w:top="270" w:right="4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BNP PARIBAS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Anita Ogbara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Anita Ogbara</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Norman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Norman Miller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20"/>
          </w:cols>
          <w:pgMar w:left="1440" w:top="270" w:right="4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K. Manuelle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Susan K. Manuelle</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20"/>
          </w:cols>
          <w:pgMar w:left="1440" w:top="270" w:right="4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Director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Phone Number: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Phone Number:</w:t>
      </w:r>
    </w:p>
    <w:p>
      <w:pPr>
        <w:sectPr>
          <w:pgSz w:w="11900" w:h="16838" w:orient="portrait"/>
          <w:cols w:equalWidth="0" w:num="1">
            <w:col w:w="10020"/>
          </w:cols>
          <w:pgMar w:left="1440" w:top="270" w:right="4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 GOLDMAN SACHS BANK USA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020"/>
          </w:cols>
          <w:pgMar w:left="1440" w:top="270" w:right="4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Adnan 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Adnan Osman</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Director, Corporate Banking - Industrials</w:t>
      </w:r>
    </w:p>
    <w:p>
      <w:pPr>
        <w:sectPr>
          <w:pgSz w:w="11900" w:h="16838" w:orient="portrait"/>
          <w:cols w:equalWidth="0" w:num="1">
            <w:col w:w="10020"/>
          </w:cols>
          <w:pgMar w:left="1440" w:top="270" w:right="4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Jason Hall</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20"/>
          </w:cols>
          <w:pgMar w:left="1440" w:top="270" w:right="4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Northern Trust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Lisa DeCristofaro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Lisa DeCristofaro</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SVP</w:t>
      </w:r>
    </w:p>
    <w:p>
      <w:pPr>
        <w:sectPr>
          <w:pgSz w:w="11900" w:h="16838" w:orient="portrait"/>
          <w:cols w:equalWidth="0" w:num="1">
            <w:col w:w="10020"/>
          </w:cols>
          <w:pgMar w:left="1440" w:top="270" w:right="4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FIVE-YEAR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DOVER CORPORATION</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Institution: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Agricultural Bank of China, New York Branch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Senior Vice President, Head of Corporate Banking</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Department</w:t>
      </w: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1)"/>
      <w:numFmt w:val="lowerRoman"/>
      <w:start w:val="2"/>
    </w:lvl>
  </w:abstractNum>
  <w:abstractNum w:abstractNumId="2">
    <w:nsid w:val="100F8FCA"/>
    <w:multiLevelType w:val="hybridMultilevel"/>
    <w:lvl w:ilvl="0">
      <w:lvlJc w:val="left"/>
      <w:lvlText w:val="(%1)"/>
      <w:numFmt w:val="lowerLetter"/>
      <w:start w:val="4"/>
    </w:lvl>
  </w:abstractNum>
  <w:abstractNum w:abstractNumId="3">
    <w:nsid w:val="6590700B"/>
    <w:multiLevelType w:val="hybridMultilevel"/>
    <w:lvl w:ilvl="0">
      <w:lvlJc w:val="left"/>
      <w:lvlText w:val="(%1)"/>
      <w:numFmt w:val="lowerLetter"/>
      <w:start w:val="1"/>
    </w:lvl>
  </w:abstractNum>
  <w:abstractNum w:abstractNumId="4">
    <w:nsid w:val="15014ACB"/>
    <w:multiLevelType w:val="hybridMultilevel"/>
    <w:lvl w:ilvl="0">
      <w:lvlJc w:val="left"/>
      <w:lvlText w:val="(%1)"/>
      <w:numFmt w:val="lowerRoman"/>
      <w:start w:val="2"/>
    </w:lvl>
  </w:abstractNum>
  <w:abstractNum w:abstractNumId="5">
    <w:nsid w:val="5F5E7FD0"/>
    <w:multiLevelType w:val="hybridMultilevel"/>
    <w:lvl w:ilvl="0">
      <w:lvlJc w:val="left"/>
      <w:lvlText w:val="(%1)"/>
      <w:numFmt w:val="decimal"/>
      <w:start w:val="1"/>
    </w:lvl>
  </w:abstractNum>
  <w:abstractNum w:abstractNumId="6">
    <w:nsid w:val="98A3148"/>
    <w:multiLevelType w:val="hybridMultilevel"/>
    <w:lvl w:ilvl="0">
      <w:lvlJc w:val="left"/>
      <w:lvlText w:val="(%1)"/>
      <w:numFmt w:val="decimal"/>
      <w:start w:val="1"/>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1)"/>
      <w:numFmt w:val="lowerLetter"/>
      <w:start w:val="3"/>
    </w:lvl>
  </w:abstractNum>
  <w:abstractNum w:abstractNumId="9">
    <w:nsid w:val="42C296BD"/>
    <w:multiLevelType w:val="hybridMultilevel"/>
    <w:lvl w:ilvl="0">
      <w:lvlJc w:val="left"/>
      <w:lvlText w:val="(%1)"/>
      <w:numFmt w:val="lowerLetter"/>
      <w:start w:val="2"/>
    </w:lvl>
  </w:abstractNum>
  <w:abstractNum w:abstractNumId="10">
    <w:nsid w:val="168E121F"/>
    <w:multiLevelType w:val="hybridMultilevel"/>
    <w:lvl w:ilvl="0">
      <w:lvlJc w:val="left"/>
      <w:lvlText w:val="(%1)"/>
      <w:numFmt w:val="lowerRoman"/>
      <w:start w:val="1"/>
    </w:lvl>
  </w:abstractNum>
  <w:abstractNum w:abstractNumId="11">
    <w:nsid w:val="1EBA5D23"/>
    <w:multiLevelType w:val="hybridMultilevel"/>
    <w:lvl w:ilvl="0">
      <w:lvlJc w:val="left"/>
      <w:lvlText w:val="(%1)"/>
      <w:numFmt w:val="lowerLetter"/>
      <w:start w:val="2"/>
    </w:lvl>
  </w:abstractNum>
  <w:abstractNum w:abstractNumId="12">
    <w:nsid w:val="661E3F1E"/>
    <w:multiLevelType w:val="hybridMultilevel"/>
    <w:lvl w:ilvl="0">
      <w:lvlJc w:val="left"/>
      <w:lvlText w:val="(%1)"/>
      <w:numFmt w:val="lowerRoman"/>
      <w:start w:val="10"/>
    </w:lvl>
  </w:abstractNum>
  <w:abstractNum w:abstractNumId="13">
    <w:nsid w:val="5DC79EA8"/>
    <w:multiLevelType w:val="hybridMultilevel"/>
    <w:lvl w:ilvl="0">
      <w:lvlJc w:val="left"/>
      <w:lvlText w:val="(%1)"/>
      <w:numFmt w:val="lowerLetter"/>
      <w:start w:val="2"/>
    </w:lvl>
  </w:abstractNum>
  <w:abstractNum w:abstractNumId="14">
    <w:nsid w:val="540A471C"/>
    <w:multiLevelType w:val="hybridMultilevel"/>
    <w:lvl w:ilvl="0">
      <w:lvlJc w:val="left"/>
      <w:lvlText w:val="(%1)"/>
      <w:numFmt w:val="lowerLetter"/>
      <w:start w:val="2"/>
    </w:lvl>
  </w:abstractNum>
  <w:abstractNum w:abstractNumId="15">
    <w:nsid w:val="7BD3EE7B"/>
    <w:multiLevelType w:val="hybridMultilevel"/>
    <w:lvl w:ilvl="0">
      <w:lvlJc w:val="left"/>
      <w:lvlText w:val="(%1)"/>
      <w:numFmt w:val="lowerRoman"/>
      <w:start w:val="3"/>
    </w:lvl>
  </w:abstractNum>
  <w:abstractNum w:abstractNumId="16">
    <w:nsid w:val="51D9C564"/>
    <w:multiLevelType w:val="hybridMultilevel"/>
    <w:lvl w:ilvl="0">
      <w:lvlJc w:val="left"/>
      <w:lvlText w:val="(%1)"/>
      <w:numFmt w:val="lowerRoman"/>
      <w:start w:val="2"/>
    </w:lvl>
  </w:abstractNum>
  <w:abstractNum w:abstractNumId="17">
    <w:nsid w:val="613EFDC5"/>
    <w:multiLevelType w:val="hybridMultilevel"/>
    <w:lvl w:ilvl="0">
      <w:lvlJc w:val="left"/>
      <w:lvlText w:val="(%1)"/>
      <w:numFmt w:val="upperLetter"/>
      <w:start w:val="1"/>
    </w:lvl>
  </w:abstractNum>
  <w:abstractNum w:abstractNumId="18">
    <w:nsid w:val="BF72B14"/>
    <w:multiLevelType w:val="hybridMultilevel"/>
    <w:lvl w:ilvl="0">
      <w:lvlJc w:val="left"/>
      <w:lvlText w:val="(%1)"/>
      <w:numFmt w:val="lowerLetter"/>
      <w:start w:val="5"/>
    </w:lvl>
  </w:abstractNum>
  <w:abstractNum w:abstractNumId="19">
    <w:nsid w:val="11447B73"/>
    <w:multiLevelType w:val="hybridMultilevel"/>
    <w:lvl w:ilvl="0">
      <w:lvlJc w:val="left"/>
      <w:lvlText w:val="(%1)"/>
      <w:numFmt w:val="lowerLetter"/>
      <w:start w:val="3"/>
    </w:lvl>
  </w:abstractNum>
  <w:abstractNum w:abstractNumId="20">
    <w:nsid w:val="42963E5A"/>
    <w:multiLevelType w:val="hybridMultilevel"/>
    <w:lvl w:ilvl="0">
      <w:lvlJc w:val="left"/>
      <w:lvlText w:val="(%1)"/>
      <w:numFmt w:val="lowerLetter"/>
      <w:start w:val="2"/>
    </w:lvl>
  </w:abstractNum>
  <w:abstractNum w:abstractNumId="21">
    <w:nsid w:val="A0382C5"/>
    <w:multiLevelType w:val="hybridMultilevel"/>
    <w:lvl w:ilvl="0">
      <w:lvlJc w:val="left"/>
      <w:lvlText w:val="(%1)"/>
      <w:numFmt w:val="lowerLetter"/>
      <w:start w:val="2"/>
    </w:lvl>
  </w:abstractNum>
  <w:abstractNum w:abstractNumId="22">
    <w:nsid w:val="8F2B15E"/>
    <w:multiLevelType w:val="hybridMultilevel"/>
    <w:lvl w:ilvl="0">
      <w:lvlJc w:val="left"/>
      <w:lvlText w:val="(%1)"/>
      <w:numFmt w:val="lowerLetter"/>
      <w:start w:val="2"/>
    </w:lvl>
  </w:abstractNum>
  <w:abstractNum w:abstractNumId="23">
    <w:nsid w:val="1A32234B"/>
    <w:multiLevelType w:val="hybridMultilevel"/>
    <w:lvl w:ilvl="0">
      <w:lvlJc w:val="left"/>
      <w:lvlText w:val="%1"/>
      <w:numFmt w:val="lowerLetter"/>
      <w:start w:val="1"/>
    </w:lvl>
    <w:lvl w:ilvl="1">
      <w:lvlJc w:val="left"/>
      <w:lvlText w:val="(%2)"/>
      <w:numFmt w:val="lowerLetter"/>
      <w:start w:val="2"/>
    </w:lvl>
  </w:abstractNum>
  <w:abstractNum w:abstractNumId="24">
    <w:nsid w:val="3B0FD379"/>
    <w:multiLevelType w:val="hybridMultilevel"/>
    <w:lvl w:ilvl="0">
      <w:lvlJc w:val="left"/>
      <w:lvlText w:val="(%1)"/>
      <w:numFmt w:val="lowerLetter"/>
      <w:start w:val="61"/>
    </w:lvl>
    <w:lvl w:ilvl="1">
      <w:lvlJc w:val="left"/>
      <w:lvlText w:val="%2"/>
      <w:numFmt w:val="lowerLetter"/>
      <w:start w:val="1"/>
    </w:lvl>
  </w:abstractNum>
  <w:abstractNum w:abstractNumId="25">
    <w:nsid w:val="68EB2F63"/>
    <w:multiLevelType w:val="hybridMultilevel"/>
    <w:lvl w:ilvl="0">
      <w:lvlJc w:val="left"/>
      <w:lvlText w:val="(%1)"/>
      <w:numFmt w:val="lowerLetter"/>
      <w:start w:val="3"/>
    </w:lvl>
  </w:abstractNum>
  <w:abstractNum w:abstractNumId="26">
    <w:nsid w:val="4962813B"/>
    <w:multiLevelType w:val="hybridMultilevel"/>
    <w:lvl w:ilvl="0">
      <w:lvlJc w:val="left"/>
      <w:lvlText w:val="(%1)"/>
      <w:numFmt w:val="lowerLetter"/>
      <w:start w:val="1"/>
    </w:lvl>
  </w:abstractNum>
  <w:abstractNum w:abstractNumId="27">
    <w:nsid w:val="60B6DF70"/>
    <w:multiLevelType w:val="hybridMultilevel"/>
    <w:lvl w:ilvl="0">
      <w:lvlJc w:val="left"/>
      <w:lvlText w:val="(%1)"/>
      <w:numFmt w:val="lowerLetter"/>
      <w:start w:val="4"/>
    </w:lvl>
  </w:abstractNum>
  <w:abstractNum w:abstractNumId="28">
    <w:nsid w:val="6A5EE64"/>
    <w:multiLevelType w:val="hybridMultilevel"/>
    <w:lvl w:ilvl="0">
      <w:lvlJc w:val="left"/>
      <w:lvlText w:val="(%1)"/>
      <w:numFmt w:val="lowerLetter"/>
      <w:start w:val="2"/>
    </w:lvl>
  </w:abstractNum>
  <w:abstractNum w:abstractNumId="29">
    <w:nsid w:val="14330624"/>
    <w:multiLevelType w:val="hybridMultilevel"/>
    <w:lvl w:ilvl="0">
      <w:lvlJc w:val="left"/>
      <w:lvlText w:val="(%1)"/>
      <w:numFmt w:val="upperLetter"/>
      <w:start w:val="2"/>
    </w:lvl>
  </w:abstractNum>
  <w:abstractNum w:abstractNumId="30">
    <w:nsid w:val="7FFFCA11"/>
    <w:multiLevelType w:val="hybridMultilevel"/>
    <w:lvl w:ilvl="0">
      <w:lvlJc w:val="left"/>
      <w:lvlText w:val="(%1)"/>
      <w:numFmt w:val="lowerLetter"/>
      <w:start w:val="3"/>
    </w:lvl>
  </w:abstractNum>
  <w:abstractNum w:abstractNumId="31">
    <w:nsid w:val="1A27709E"/>
    <w:multiLevelType w:val="hybridMultilevel"/>
    <w:lvl w:ilvl="0">
      <w:lvlJc w:val="left"/>
      <w:lvlText w:val="(%1)"/>
      <w:numFmt w:val="lowerLetter"/>
      <w:start w:val="5"/>
    </w:lvl>
  </w:abstractNum>
  <w:abstractNum w:abstractNumId="32">
    <w:nsid w:val="71EA1109"/>
    <w:multiLevelType w:val="hybridMultilevel"/>
    <w:lvl w:ilvl="0">
      <w:lvlJc w:val="left"/>
      <w:lvlText w:val="(%1)"/>
      <w:numFmt w:val="lowerLetter"/>
      <w:start w:val="7"/>
    </w:lvl>
  </w:abstractNum>
  <w:abstractNum w:abstractNumId="33">
    <w:nsid w:val="100F59DC"/>
    <w:multiLevelType w:val="hybridMultilevel"/>
    <w:lvl w:ilvl="0">
      <w:lvlJc w:val="left"/>
      <w:lvlText w:val="(%1)"/>
      <w:numFmt w:val="lowerLetter"/>
      <w:start w:val="8"/>
    </w:lvl>
  </w:abstractNum>
  <w:abstractNum w:abstractNumId="34">
    <w:nsid w:val="7FB7E0AA"/>
    <w:multiLevelType w:val="hybridMultilevel"/>
    <w:lvl w:ilvl="0">
      <w:lvlJc w:val="left"/>
      <w:lvlText w:val="(%1)"/>
      <w:numFmt w:val="lowerLetter"/>
      <w:start w:val="10"/>
    </w:lvl>
  </w:abstractNum>
  <w:abstractNum w:abstractNumId="35">
    <w:nsid w:val="6EB5BD4"/>
    <w:multiLevelType w:val="hybridMultilevel"/>
    <w:lvl w:ilvl="0">
      <w:lvlJc w:val="left"/>
      <w:lvlText w:val="(%1)"/>
      <w:numFmt w:val="lowerLetter"/>
      <w:start w:val="35"/>
    </w:lvl>
    <w:lvl w:ilvl="1">
      <w:lvlJc w:val="left"/>
      <w:lvlText w:val="(%2)"/>
      <w:numFmt w:val="lowerLetter"/>
      <w:start w:val="11"/>
    </w:lvl>
  </w:abstractNum>
  <w:abstractNum w:abstractNumId="36">
    <w:nsid w:val="6F6DD9AC"/>
    <w:multiLevelType w:val="hybridMultilevel"/>
    <w:lvl w:ilvl="0">
      <w:lvlJc w:val="left"/>
      <w:lvlText w:val="(%1)"/>
      <w:numFmt w:val="lowerRoman"/>
      <w:start w:val="1"/>
    </w:lvl>
  </w:abstractNum>
  <w:abstractNum w:abstractNumId="37">
    <w:nsid w:val="94211F2"/>
    <w:multiLevelType w:val="hybridMultilevel"/>
    <w:lvl w:ilvl="0">
      <w:lvlJc w:val="left"/>
      <w:lvlText w:val="(%1)"/>
      <w:numFmt w:val="lowerRoman"/>
      <w:start w:val="2"/>
    </w:lvl>
  </w:abstractNum>
  <w:abstractNum w:abstractNumId="38">
    <w:nsid w:val="885E1B"/>
    <w:multiLevelType w:val="hybridMultilevel"/>
    <w:lvl w:ilvl="0">
      <w:lvlJc w:val="left"/>
      <w:lvlText w:val="%1"/>
      <w:numFmt w:val="lowerLetter"/>
      <w:start w:val="1"/>
    </w:lvl>
    <w:lvl w:ilvl="1">
      <w:lvlJc w:val="left"/>
      <w:lvlText w:val="(%2)"/>
      <w:numFmt w:val="lowerLetter"/>
      <w:start w:val="14"/>
    </w:lvl>
  </w:abstractNum>
  <w:abstractNum w:abstractNumId="39">
    <w:nsid w:val="76272110"/>
    <w:multiLevelType w:val="hybridMultilevel"/>
    <w:lvl w:ilvl="0">
      <w:lvlJc w:val="left"/>
      <w:lvlText w:val="(%1)"/>
      <w:numFmt w:val="lowerLetter"/>
      <w:start w:val="6"/>
    </w:lvl>
    <w:lvl w:ilvl="1">
      <w:lvlJc w:val="left"/>
      <w:lvlText w:val="(%2)"/>
      <w:numFmt w:val="lowerLetter"/>
      <w:start w:val="15"/>
    </w:lvl>
  </w:abstractNum>
  <w:abstractNum w:abstractNumId="40">
    <w:nsid w:val="4C04A8AF"/>
    <w:multiLevelType w:val="hybridMultilevel"/>
    <w:lvl w:ilvl="0">
      <w:lvlJc w:val="left"/>
      <w:lvlText w:val="(%1)"/>
      <w:numFmt w:val="lowerLetter"/>
      <w:start w:val="35"/>
    </w:lvl>
    <w:lvl w:ilvl="1">
      <w:lvlJc w:val="left"/>
      <w:lvlText w:val="%2"/>
      <w:numFmt w:val="lowerLetter"/>
      <w:start w:val="1"/>
    </w:lvl>
  </w:abstractNum>
  <w:abstractNum w:abstractNumId="41">
    <w:nsid w:val="1716703B"/>
    <w:multiLevelType w:val="hybridMultilevel"/>
    <w:lvl w:ilvl="0">
      <w:lvlJc w:val="left"/>
      <w:lvlText w:val="%1"/>
      <w:numFmt w:val="lowerLetter"/>
      <w:start w:val="1"/>
    </w:lvl>
    <w:lvl w:ilvl="1">
      <w:lvlJc w:val="left"/>
      <w:lvlText w:val="(%2)"/>
      <w:numFmt w:val="lowerLetter"/>
      <w:start w:val="2"/>
    </w:lvl>
  </w:abstractNum>
  <w:abstractNum w:abstractNumId="42">
    <w:nsid w:val="14E17E33"/>
    <w:multiLevelType w:val="hybridMultilevel"/>
    <w:lvl w:ilvl="0">
      <w:lvlJc w:val="left"/>
      <w:lvlText w:val="(%1)"/>
      <w:numFmt w:val="lowerLetter"/>
      <w:start w:val="9"/>
    </w:lvl>
    <w:lvl w:ilvl="1">
      <w:lvlJc w:val="left"/>
      <w:lvlText w:val="%2"/>
      <w:numFmt w:val="lowerLetter"/>
      <w:start w:val="1"/>
    </w:lvl>
  </w:abstractNum>
  <w:abstractNum w:abstractNumId="43">
    <w:nsid w:val="3222E7CD"/>
    <w:multiLevelType w:val="hybridMultilevel"/>
    <w:lvl w:ilvl="0">
      <w:lvlJc w:val="left"/>
      <w:lvlText w:val="(%1)"/>
      <w:numFmt w:val="lowerLetter"/>
      <w:start w:val="2"/>
    </w:lvl>
  </w:abstractNum>
  <w:abstractNum w:abstractNumId="44">
    <w:nsid w:val="74DE0EE3"/>
    <w:multiLevelType w:val="hybridMultilevel"/>
    <w:lvl w:ilvl="0">
      <w:lvlJc w:val="left"/>
      <w:lvlText w:val="%1"/>
      <w:numFmt w:val="lowerRoman"/>
      <w:start w:val="1"/>
    </w:lvl>
    <w:lvl w:ilvl="1">
      <w:lvlJc w:val="left"/>
      <w:lvlText w:val="(%2)"/>
      <w:numFmt w:val="lowerRoman"/>
      <w:start w:val="1"/>
    </w:lvl>
  </w:abstractNum>
  <w:abstractNum w:abstractNumId="45">
    <w:nsid w:val="68EBC550"/>
    <w:multiLevelType w:val="hybridMultilevel"/>
    <w:lvl w:ilvl="0">
      <w:lvlJc w:val="left"/>
      <w:lvlText w:val="(%1)"/>
      <w:numFmt w:val="lowerRoman"/>
      <w:start w:val="4"/>
    </w:lvl>
    <w:lvl w:ilvl="1">
      <w:lvlJc w:val="left"/>
      <w:lvlText w:val="(%2)"/>
      <w:numFmt w:val="lowerRoman"/>
      <w:start w:val="2"/>
    </w:lvl>
  </w:abstractNum>
  <w:abstractNum w:abstractNumId="46">
    <w:nsid w:val="2DF6D648"/>
    <w:multiLevelType w:val="hybridMultilevel"/>
    <w:lvl w:ilvl="0">
      <w:lvlJc w:val="left"/>
      <w:lvlText w:val="(%1)"/>
      <w:numFmt w:val="lowerLetter"/>
      <w:start w:val="4"/>
    </w:lvl>
  </w:abstractNum>
  <w:abstractNum w:abstractNumId="47">
    <w:nsid w:val="46B7D447"/>
    <w:multiLevelType w:val="hybridMultilevel"/>
    <w:lvl w:ilvl="0">
      <w:lvlJc w:val="left"/>
      <w:lvlText w:val="(%1)"/>
      <w:numFmt w:val="lowerLetter"/>
      <w:start w:val="6"/>
    </w:lvl>
  </w:abstractNum>
  <w:abstractNum w:abstractNumId="48">
    <w:nsid w:val="4A2AC315"/>
    <w:multiLevelType w:val="hybridMultilevel"/>
    <w:lvl w:ilvl="0">
      <w:lvlJc w:val="left"/>
      <w:lvlText w:val="%1"/>
      <w:numFmt w:val="upperLetter"/>
      <w:start w:val="1"/>
    </w:lvl>
    <w:lvl w:ilvl="1">
      <w:lvlJc w:val="left"/>
      <w:lvlText w:val="(%2)"/>
      <w:numFmt w:val="lowerLetter"/>
      <w:start w:val="2"/>
    </w:lvl>
  </w:abstractNum>
  <w:abstractNum w:abstractNumId="49">
    <w:nsid w:val="39EE015C"/>
    <w:multiLevelType w:val="hybridMultilevel"/>
    <w:lvl w:ilvl="0">
      <w:lvlJc w:val="left"/>
      <w:lvlText w:val="(%1)"/>
      <w:numFmt w:val="upperLetter"/>
      <w:start w:val="1"/>
    </w:lvl>
    <w:lvl w:ilvl="1">
      <w:lvlJc w:val="left"/>
      <w:lvlText w:val="(%2)"/>
      <w:numFmt w:val="lowerLetter"/>
      <w:start w:val="3"/>
    </w:lvl>
  </w:abstractNum>
  <w:abstractNum w:abstractNumId="50">
    <w:nsid w:val="57FC4FBB"/>
    <w:multiLevelType w:val="hybridMultilevel"/>
    <w:lvl w:ilvl="0">
      <w:lvlJc w:val="left"/>
      <w:lvlText w:val="(%1)"/>
      <w:numFmt w:val="lowerLetter"/>
      <w:start w:val="5"/>
    </w:lvl>
  </w:abstractNum>
  <w:abstractNum w:abstractNumId="51">
    <w:nsid w:val="CC1016F"/>
    <w:multiLevelType w:val="hybridMultilevel"/>
    <w:lvl w:ilvl="0">
      <w:lvlJc w:val="left"/>
      <w:lvlText w:val="(%1)"/>
      <w:numFmt w:val="lowerLetter"/>
      <w:start w:val="2"/>
    </w:lvl>
  </w:abstractNum>
  <w:abstractNum w:abstractNumId="52">
    <w:nsid w:val="43F18422"/>
    <w:multiLevelType w:val="hybridMultilevel"/>
    <w:lvl w:ilvl="0">
      <w:lvlJc w:val="left"/>
      <w:lvlText w:val="(%1)"/>
      <w:numFmt w:val="lowerLetter"/>
      <w:start w:val="3"/>
    </w:lvl>
  </w:abstractNum>
  <w:abstractNum w:abstractNumId="53">
    <w:nsid w:val="60EF0119"/>
    <w:multiLevelType w:val="hybridMultilevel"/>
    <w:lvl w:ilvl="0">
      <w:lvlJc w:val="left"/>
      <w:lvlText w:val="(%1)"/>
      <w:numFmt w:val="lowerLetter"/>
      <w:start w:val="2"/>
    </w:lvl>
  </w:abstractNum>
  <w:abstractNum w:abstractNumId="54">
    <w:nsid w:val="26F324BA"/>
    <w:multiLevelType w:val="hybridMultilevel"/>
    <w:lvl w:ilvl="0">
      <w:lvlJc w:val="left"/>
      <w:lvlText w:val="(%1)"/>
      <w:numFmt w:val="lowerLetter"/>
      <w:start w:val="2"/>
    </w:lvl>
  </w:abstractNum>
  <w:abstractNum w:abstractNumId="55">
    <w:nsid w:val="7F01579B"/>
    <w:multiLevelType w:val="hybridMultilevel"/>
    <w:lvl w:ilvl="0">
      <w:lvlJc w:val="left"/>
      <w:lvlText w:val="(%1)"/>
      <w:numFmt w:val="lowerLetter"/>
      <w:start w:val="3"/>
    </w:lvl>
  </w:abstractNum>
  <w:abstractNum w:abstractNumId="56">
    <w:nsid w:val="49DA307D"/>
    <w:multiLevelType w:val="hybridMultilevel"/>
    <w:lvl w:ilvl="0">
      <w:lvlJc w:val="left"/>
      <w:lvlText w:val="(%1)"/>
      <w:numFmt w:val="lowerLetter"/>
      <w:start w:val="2"/>
    </w:lvl>
  </w:abstractNum>
  <w:abstractNum w:abstractNumId="57">
    <w:nsid w:val="7055A5F5"/>
    <w:multiLevelType w:val="hybridMultilevel"/>
    <w:lvl w:ilvl="0">
      <w:lvlJc w:val="left"/>
      <w:lvlText w:val="%1"/>
      <w:numFmt w:val="lowerLetter"/>
      <w:start w:val="1"/>
    </w:lvl>
    <w:lvl w:ilvl="1">
      <w:lvlJc w:val="left"/>
      <w:lvlText w:val="(%2)"/>
      <w:numFmt w:val="lowerLetter"/>
      <w:start w:val="7"/>
    </w:lvl>
  </w:abstractNum>
  <w:abstractNum w:abstractNumId="58">
    <w:nsid w:val="5FB8370B"/>
    <w:multiLevelType w:val="hybridMultilevel"/>
    <w:lvl w:ilvl="0">
      <w:lvlJc w:val="left"/>
      <w:lvlText w:val="(%1)"/>
      <w:numFmt w:val="lowerLetter"/>
      <w:start w:val="61"/>
    </w:lvl>
    <w:lvl w:ilvl="1">
      <w:lvlJc w:val="left"/>
      <w:lvlText w:val="(%2)"/>
      <w:numFmt w:val="lowerLetter"/>
      <w:start w:val="9"/>
    </w:lvl>
  </w:abstractNum>
  <w:abstractNum w:abstractNumId="59">
    <w:nsid w:val="50801EE1"/>
    <w:multiLevelType w:val="hybridMultilevel"/>
    <w:lvl w:ilvl="0">
      <w:lvlJc w:val="left"/>
      <w:lvlText w:val="(%1)"/>
      <w:numFmt w:val="lowerRoman"/>
      <w:start w:val="1"/>
    </w:lvl>
  </w:abstractNum>
  <w:abstractNum w:abstractNumId="60">
    <w:nsid w:val="488AC1A"/>
    <w:multiLevelType w:val="hybridMultilevel"/>
    <w:lvl w:ilvl="0">
      <w:lvlJc w:val="left"/>
      <w:lvlText w:val="(%1)"/>
      <w:numFmt w:val="lowerRoman"/>
      <w:start w:val="2"/>
    </w:lvl>
  </w:abstractNum>
  <w:abstractNum w:abstractNumId="61">
    <w:nsid w:val="5FB8011C"/>
    <w:multiLevelType w:val="hybridMultilevel"/>
    <w:lvl w:ilvl="0">
      <w:lvlJc w:val="left"/>
      <w:lvlText w:val="(%1)"/>
      <w:numFmt w:val="lowerLetter"/>
      <w:start w:val="2"/>
    </w:lvl>
  </w:abstractNum>
  <w:abstractNum w:abstractNumId="62">
    <w:nsid w:val="6AA78F7F"/>
    <w:multiLevelType w:val="hybridMultilevel"/>
    <w:lvl w:ilvl="0">
      <w:lvlJc w:val="left"/>
      <w:lvlText w:val="(%1)"/>
      <w:numFmt w:val="lowerRoman"/>
      <w:start w:val="2"/>
    </w:lvl>
  </w:abstractNum>
  <w:abstractNum w:abstractNumId="63">
    <w:nsid w:val="7672BD23"/>
    <w:multiLevelType w:val="hybridMultilevel"/>
    <w:lvl w:ilvl="0">
      <w:lvlJc w:val="left"/>
      <w:lvlText w:val="(%1)"/>
      <w:numFmt w:val="lowerRoman"/>
      <w:start w:val="3"/>
    </w:lvl>
  </w:abstractNum>
  <w:abstractNum w:abstractNumId="64">
    <w:nsid w:val="6FC75AF8"/>
    <w:multiLevelType w:val="hybridMultilevel"/>
    <w:lvl w:ilvl="0">
      <w:lvlJc w:val="left"/>
      <w:lvlText w:val="(%1)"/>
      <w:numFmt w:val="lowerRoman"/>
      <w:start w:val="1"/>
    </w:lvl>
  </w:abstractNum>
  <w:abstractNum w:abstractNumId="65">
    <w:nsid w:val="6A5F7029"/>
    <w:multiLevelType w:val="hybridMultilevel"/>
    <w:lvl w:ilvl="0">
      <w:lvlJc w:val="left"/>
      <w:lvlText w:val="(%1)"/>
      <w:numFmt w:val="lowerRoman"/>
      <w:start w:val="2"/>
    </w:lvl>
  </w:abstractNum>
  <w:abstractNum w:abstractNumId="66">
    <w:nsid w:val="7D5E18F8"/>
    <w:multiLevelType w:val="hybridMultilevel"/>
    <w:lvl w:ilvl="0">
      <w:lvlJc w:val="left"/>
      <w:lvlText w:val="(%1)"/>
      <w:numFmt w:val="lowerLetter"/>
      <w:start w:val="2"/>
    </w:lvl>
  </w:abstractNum>
  <w:abstractNum w:abstractNumId="67">
    <w:nsid w:val="5F3534A4"/>
    <w:multiLevelType w:val="hybridMultilevel"/>
    <w:lvl w:ilvl="0">
      <w:lvlJc w:val="left"/>
      <w:lvlText w:val="(%1)"/>
      <w:numFmt w:val="lowerLetter"/>
      <w:start w:val="4"/>
    </w:lvl>
  </w:abstractNum>
  <w:abstractNum w:abstractNumId="68">
    <w:nsid w:val="73A1821B"/>
    <w:multiLevelType w:val="hybridMultilevel"/>
    <w:lvl w:ilvl="0">
      <w:lvlJc w:val="left"/>
      <w:lvlText w:val="(%1)"/>
      <w:numFmt w:val="lowerLetter"/>
      <w:start w:val="2"/>
    </w:lvl>
  </w:abstractNum>
  <w:abstractNum w:abstractNumId="69">
    <w:nsid w:val="7DE67713"/>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70">
    <w:nsid w:val="555C55B5"/>
    <w:multiLevelType w:val="hybridMultilevel"/>
    <w:lvl w:ilvl="0">
      <w:lvlJc w:val="left"/>
      <w:lvlText w:val="%1"/>
      <w:numFmt w:val="upperLetter"/>
      <w:start w:val="1"/>
    </w:lvl>
    <w:lvl w:ilvl="1">
      <w:lvlJc w:val="left"/>
      <w:lvlText w:val="(%2)"/>
      <w:numFmt w:val="lowerRoman"/>
      <w:start w:val="2"/>
    </w:lvl>
  </w:abstractNum>
  <w:abstractNum w:abstractNumId="71">
    <w:nsid w:val="3FA62ACA"/>
    <w:multiLevelType w:val="hybridMultilevel"/>
    <w:lvl w:ilvl="0">
      <w:lvlJc w:val="left"/>
      <w:lvlText w:val="(%1)"/>
      <w:numFmt w:val="upperLetter"/>
      <w:start w:val="3"/>
    </w:lvl>
    <w:lvl w:ilvl="1">
      <w:lvlJc w:val="left"/>
      <w:lvlText w:val="%2"/>
      <w:numFmt w:val="lowerRoman"/>
      <w:start w:val="1"/>
    </w:lvl>
  </w:abstractNum>
  <w:abstractNum w:abstractNumId="72">
    <w:nsid w:val="14FCE74E"/>
    <w:multiLevelType w:val="hybridMultilevel"/>
    <w:lvl w:ilvl="0">
      <w:lvlJc w:val="left"/>
      <w:lvlText w:val="(%1)"/>
      <w:numFmt w:val="lowerLetter"/>
      <w:start w:val="7"/>
    </w:lvl>
  </w:abstractNum>
  <w:abstractNum w:abstractNumId="73">
    <w:nsid w:val="6A3DD3E8"/>
    <w:multiLevelType w:val="hybridMultilevel"/>
    <w:lvl w:ilvl="0">
      <w:lvlJc w:val="left"/>
      <w:lvlText w:val="(%1)"/>
      <w:numFmt w:val="lowerLetter"/>
      <w:start w:val="2"/>
    </w:lvl>
  </w:abstractNum>
  <w:abstractNum w:abstractNumId="74">
    <w:nsid w:val="71C91298"/>
    <w:multiLevelType w:val="hybridMultilevel"/>
    <w:lvl w:ilvl="0">
      <w:lvlJc w:val="left"/>
      <w:lvlText w:val="(%1)"/>
      <w:numFmt w:val="lowerLetter"/>
      <w:start w:val="4"/>
    </w:lvl>
  </w:abstractNum>
  <w:abstractNum w:abstractNumId="75">
    <w:nsid w:val="9DAF632"/>
    <w:multiLevelType w:val="hybridMultilevel"/>
    <w:lvl w:ilvl="0">
      <w:lvlJc w:val="left"/>
      <w:lvlText w:val="(%1)"/>
      <w:numFmt w:val="lowerLetter"/>
      <w:start w:val="2"/>
    </w:lvl>
  </w:abstractNum>
  <w:abstractNum w:abstractNumId="76">
    <w:nsid w:val="53299938"/>
    <w:multiLevelType w:val="hybridMultilevel"/>
    <w:lvl w:ilvl="0">
      <w:lvlJc w:val="left"/>
      <w:lvlText w:val="(%1)"/>
      <w:numFmt w:val="lowerLetter"/>
      <w:start w:val="2"/>
    </w:lvl>
  </w:abstractNum>
  <w:abstractNum w:abstractNumId="77">
    <w:nsid w:val="1FBFE8E0"/>
    <w:multiLevelType w:val="hybridMultilevel"/>
    <w:lvl w:ilvl="0">
      <w:lvlJc w:val="left"/>
      <w:lvlText w:val="(%1)"/>
      <w:numFmt w:val="lowerLetter"/>
      <w:start w:val="2"/>
    </w:lvl>
  </w:abstractNum>
  <w:abstractNum w:abstractNumId="78">
    <w:nsid w:val="5092CA79"/>
    <w:multiLevelType w:val="hybridMultilevel"/>
    <w:lvl w:ilvl="0">
      <w:lvlJc w:val="left"/>
      <w:lvlText w:val="(%1)"/>
      <w:numFmt w:val="lowerLetter"/>
      <w:start w:val="3"/>
    </w:lvl>
  </w:abstractNum>
  <w:abstractNum w:abstractNumId="79">
    <w:nsid w:val="1D545C4D"/>
    <w:multiLevelType w:val="hybridMultilevel"/>
    <w:lvl w:ilvl="0">
      <w:lvlJc w:val="left"/>
      <w:lvlText w:val="(%1)"/>
      <w:numFmt w:val="lowerRoman"/>
      <w:start w:val="1"/>
    </w:lvl>
  </w:abstractNum>
  <w:abstractNum w:abstractNumId="80">
    <w:nsid w:val="59ADEA3D"/>
    <w:multiLevelType w:val="hybridMultilevel"/>
    <w:lvl w:ilvl="0">
      <w:lvlJc w:val="left"/>
      <w:lvlText w:val="(%1)"/>
      <w:numFmt w:val="lowerRoman"/>
      <w:start w:val="4"/>
    </w:lvl>
    <w:lvl w:ilvl="1">
      <w:lvlJc w:val="left"/>
      <w:lvlText w:val="(%2)"/>
      <w:numFmt w:val="lowerRoman"/>
      <w:start w:val="3"/>
    </w:lvl>
    <w:lvl w:ilvl="2">
      <w:lvlJc w:val="left"/>
      <w:lvlText w:val="(%3)"/>
      <w:numFmt w:val="upperLetter"/>
      <w:start w:val="1"/>
    </w:lvl>
  </w:abstractNum>
  <w:abstractNum w:abstractNumId="81">
    <w:nsid w:val="288F1A34"/>
    <w:multiLevelType w:val="hybridMultilevel"/>
    <w:lvl w:ilvl="0">
      <w:lvlJc w:val="left"/>
      <w:lvlText w:val="%1"/>
      <w:numFmt w:val="lowerLetter"/>
      <w:start w:val="1"/>
    </w:lvl>
    <w:lvl w:ilvl="1">
      <w:lvlJc w:val="left"/>
      <w:lvlText w:val="(%2)"/>
      <w:numFmt w:val="upperLetter"/>
      <w:start w:val="2"/>
    </w:lvl>
  </w:abstractNum>
  <w:abstractNum w:abstractNumId="82">
    <w:nsid w:val="2A155DBC"/>
    <w:multiLevelType w:val="hybridMultilevel"/>
    <w:lvl w:ilvl="0">
      <w:lvlJc w:val="left"/>
      <w:lvlText w:val="(%1)"/>
      <w:numFmt w:val="lowerLetter"/>
      <w:start w:val="2"/>
    </w:lvl>
    <w:lvl w:ilvl="1">
      <w:lvlJc w:val="left"/>
      <w:lvlText w:val="%2"/>
      <w:numFmt w:val="upperLetter"/>
      <w:start w:val="1"/>
    </w:lvl>
  </w:abstractNum>
  <w:abstractNum w:abstractNumId="83">
    <w:nsid w:val="1D9F6E5F"/>
    <w:multiLevelType w:val="hybridMultilevel"/>
    <w:lvl w:ilvl="0">
      <w:lvlJc w:val="left"/>
      <w:lvlText w:val="(%1)"/>
      <w:numFmt w:val="lowerLetter"/>
      <w:start w:val="4"/>
    </w:lvl>
  </w:abstractNum>
  <w:abstractNum w:abstractNumId="84">
    <w:nsid w:val="97E1B4E"/>
    <w:multiLevelType w:val="hybridMultilevel"/>
    <w:lvl w:ilvl="0">
      <w:lvlJc w:val="left"/>
      <w:lvlText w:val="(%1)"/>
      <w:numFmt w:val="lowerLetter"/>
      <w:start w:val="2"/>
    </w:lvl>
  </w:abstractNum>
  <w:abstractNum w:abstractNumId="85">
    <w:nsid w:val="51088277"/>
    <w:multiLevelType w:val="hybridMultilevel"/>
    <w:lvl w:ilvl="0">
      <w:lvlJc w:val="left"/>
      <w:lvlText w:val="(%1)"/>
      <w:numFmt w:val="lowerLetter"/>
      <w:start w:val="2"/>
    </w:lvl>
  </w:abstractNum>
  <w:abstractNum w:abstractNumId="86">
    <w:nsid w:val="1CA0C5FA"/>
    <w:multiLevelType w:val="hybridMultilevel"/>
    <w:lvl w:ilvl="0">
      <w:lvlJc w:val="left"/>
      <w:lvlText w:val="(%1)"/>
      <w:numFmt w:val="lowerRoman"/>
      <w:start w:val="1"/>
    </w:lvl>
  </w:abstractNum>
  <w:abstractNum w:abstractNumId="87">
    <w:nsid w:val="53584BCB"/>
    <w:multiLevelType w:val="hybridMultilevel"/>
    <w:lvl w:ilvl="0">
      <w:lvlJc w:val="left"/>
      <w:lvlText w:val="%1"/>
      <w:numFmt w:val="decimal"/>
      <w:start w:val="1"/>
    </w:lvl>
    <w:lvl w:ilvl="1">
      <w:lvlJc w:val="left"/>
      <w:lvlText w:val="(%2)"/>
      <w:numFmt w:val="lowerLetter"/>
      <w:start w:val="2"/>
    </w:lvl>
  </w:abstractNum>
  <w:abstractNum w:abstractNumId="88">
    <w:nsid w:val="415E286C"/>
    <w:multiLevelType w:val="hybridMultilevel"/>
    <w:lvl w:ilvl="0">
      <w:lvlJc w:val="left"/>
      <w:lvlText w:val="(%1)"/>
      <w:numFmt w:val="decimal"/>
      <w:start w:val="1"/>
    </w:lvl>
    <w:lvl w:ilvl="1">
      <w:lvlJc w:val="left"/>
      <w:lvlText w:val="(%2)"/>
      <w:numFmt w:val="lowerLetter"/>
      <w:start w:val="4"/>
    </w:lvl>
  </w:abstractNum>
  <w:abstractNum w:abstractNumId="89">
    <w:nsid w:val="7C58FD05"/>
    <w:multiLevelType w:val="hybridMultilevel"/>
    <w:lvl w:ilvl="0">
      <w:lvlJc w:val="left"/>
      <w:lvlText w:val="(%1)"/>
      <w:numFmt w:val="lowerLetter"/>
      <w:start w:val="1"/>
    </w:lvl>
  </w:abstractNum>
  <w:abstractNum w:abstractNumId="90">
    <w:nsid w:val="23D86AAC"/>
    <w:multiLevelType w:val="hybridMultilevel"/>
    <w:lvl w:ilvl="0">
      <w:lvlJc w:val="left"/>
      <w:lvlText w:val="(%1)"/>
      <w:numFmt w:val="lowerLetter"/>
      <w:start w:val="1"/>
    </w:lvl>
  </w:abstractNum>
  <w:abstractNum w:abstractNumId="91">
    <w:nsid w:val="45E6D486"/>
    <w:multiLevelType w:val="hybridMultilevel"/>
    <w:lvl w:ilvl="0">
      <w:lvlJc w:val="left"/>
      <w:lvlText w:val="(%1)"/>
      <w:numFmt w:val="lowerLetter"/>
      <w:start w:val="3"/>
    </w:lvl>
  </w:abstractNum>
  <w:abstractNum w:abstractNumId="92">
    <w:nsid w:val="5C10FE21"/>
    <w:multiLevelType w:val="hybridMultilevel"/>
    <w:lvl w:ilvl="0">
      <w:lvlJc w:val="left"/>
      <w:lvlText w:val="(%1)"/>
      <w:numFmt w:val="lowerLetter"/>
      <w:start w:val="1"/>
    </w:lvl>
  </w:abstractNum>
  <w:abstractNum w:abstractNumId="93">
    <w:nsid w:val="E7FFA2B"/>
    <w:multiLevelType w:val="hybridMultilevel"/>
    <w:lvl w:ilvl="0">
      <w:lvlJc w:val="left"/>
      <w:lvlText w:val="(%1)"/>
      <w:numFmt w:val="lowerLetter"/>
      <w:start w:val="2"/>
    </w:lvl>
  </w:abstractNum>
  <w:abstractNum w:abstractNumId="94">
    <w:nsid w:val="3C5991AA"/>
    <w:multiLevelType w:val="hybridMultilevel"/>
    <w:lvl w:ilvl="0">
      <w:lvlJc w:val="left"/>
      <w:lvlText w:val="(%1)"/>
      <w:numFmt w:val="lowerLetter"/>
      <w:start w:val="7"/>
    </w:lvl>
  </w:abstractNum>
  <w:abstractNum w:abstractNumId="95">
    <w:nsid w:val="4BD8591A"/>
    <w:multiLevelType w:val="hybridMultilevel"/>
    <w:lvl w:ilvl="0">
      <w:lvlJc w:val="left"/>
      <w:lvlText w:val="(%1)"/>
      <w:numFmt w:val="lowerLetter"/>
      <w:start w:val="2"/>
    </w:lvl>
  </w:abstractNum>
  <w:abstractNum w:abstractNumId="96">
    <w:nsid w:val="78DF6A55"/>
    <w:multiLevelType w:val="hybridMultilevel"/>
    <w:lvl w:ilvl="0">
      <w:lvlJc w:val="left"/>
      <w:lvlText w:val="(%1)"/>
      <w:numFmt w:val="lowerLetter"/>
      <w:start w:val="1"/>
    </w:lvl>
  </w:abstractNum>
  <w:abstractNum w:abstractNumId="97">
    <w:nsid w:val="39B7AAA2"/>
    <w:multiLevelType w:val="hybridMultilevel"/>
    <w:lvl w:ilvl="0">
      <w:lvlJc w:val="left"/>
      <w:lvlText w:val="(%1)"/>
      <w:numFmt w:val="lowerLetter"/>
      <w:start w:val="4"/>
    </w:lvl>
  </w:abstractNum>
  <w:abstractNum w:abstractNumId="98">
    <w:nsid w:val="2B0D8DBE"/>
    <w:multiLevelType w:val="hybridMultilevel"/>
    <w:lvl w:ilvl="0">
      <w:lvlJc w:val="left"/>
      <w:lvlText w:val="(%1)"/>
      <w:numFmt w:val="lowerLetter"/>
      <w:start w:val="2"/>
    </w:lvl>
  </w:abstractNum>
  <w:abstractNum w:abstractNumId="99">
    <w:nsid w:val="6C80EC70"/>
    <w:multiLevelType w:val="hybridMultilevel"/>
    <w:lvl w:ilvl="0">
      <w:lvlJc w:val="left"/>
      <w:lvlText w:val="(%1)"/>
      <w:numFmt w:val="lowerLetter"/>
      <w:start w:val="1"/>
    </w:lvl>
  </w:abstractNum>
  <w:abstractNum w:abstractNumId="100">
    <w:nsid w:val="379E21B5"/>
    <w:multiLevelType w:val="hybridMultilevel"/>
    <w:lvl w:ilvl="0">
      <w:lvlJc w:val="left"/>
      <w:lvlText w:val="(%1)"/>
      <w:numFmt w:val="lowerLetter"/>
      <w:start w:val="2"/>
    </w:lvl>
  </w:abstractNum>
  <w:abstractNum w:abstractNumId="101">
    <w:nsid w:val="69E373"/>
    <w:multiLevelType w:val="hybridMultilevel"/>
    <w:lvl w:ilvl="0">
      <w:lvlJc w:val="left"/>
      <w:lvlText w:val="(%1)"/>
      <w:numFmt w:val="lowerLetter"/>
      <w:start w:val="8"/>
    </w:lvl>
  </w:abstractNum>
  <w:abstractNum w:abstractNumId="102">
    <w:nsid w:val="2C27173B"/>
    <w:multiLevelType w:val="hybridMultilevel"/>
    <w:lvl w:ilvl="0">
      <w:lvlJc w:val="left"/>
      <w:lvlText w:val="(%1)"/>
      <w:numFmt w:val="lowerLetter"/>
      <w:start w:val="10"/>
    </w:lvl>
  </w:abstractNum>
  <w:abstractNum w:abstractNumId="103">
    <w:nsid w:val="4C9B0904"/>
    <w:multiLevelType w:val="hybridMultilevel"/>
    <w:lvl w:ilvl="0">
      <w:lvlJc w:val="left"/>
      <w:lvlText w:val="(%1)"/>
      <w:numFmt w:val="lowerLetter"/>
      <w:start w:val="1"/>
    </w:lvl>
  </w:abstractNum>
  <w:abstractNum w:abstractNumId="104">
    <w:nsid w:val="6AA7B75C"/>
    <w:multiLevelType w:val="hybridMultilevel"/>
    <w:lvl w:ilvl="0">
      <w:lvlJc w:val="left"/>
      <w:lvlText w:val="(%1)"/>
      <w:numFmt w:val="lowerLetter"/>
      <w:start w:val="2"/>
    </w:lvl>
  </w:abstractNum>
  <w:abstractNum w:abstractNumId="105">
    <w:nsid w:val="1DF029D3"/>
    <w:multiLevelType w:val="hybridMultilevel"/>
    <w:lvl w:ilvl="0">
      <w:lvlJc w:val="left"/>
      <w:lvlText w:val="(%1)"/>
      <w:numFmt w:val="lowerLetter"/>
      <w:start w:val="2"/>
    </w:lvl>
  </w:abstractNum>
  <w:abstractNum w:abstractNumId="106">
    <w:nsid w:val="5675FF36"/>
    <w:multiLevelType w:val="hybridMultilevel"/>
    <w:lvl w:ilvl="0">
      <w:lvlJc w:val="left"/>
      <w:lvlText w:val="(%1)"/>
      <w:numFmt w:val="lowerLetter"/>
      <w:start w:val="1"/>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lowerLetter"/>
      <w:start w:val="4"/>
    </w:lvl>
  </w:abstractNum>
  <w:abstractNum w:abstractNumId="109">
    <w:nsid w:val="2708C9AF"/>
    <w:multiLevelType w:val="hybridMultilevel"/>
    <w:lvl w:ilvl="0">
      <w:lvlJc w:val="left"/>
      <w:lvlText w:val="(%1)"/>
      <w:numFmt w:val="lowerLetter"/>
      <w:start w:val="2"/>
    </w:lvl>
  </w:abstractNum>
  <w:abstractNum w:abstractNumId="110">
    <w:nsid w:val="5B25ACE2"/>
    <w:multiLevelType w:val="hybridMultilevel"/>
    <w:lvl w:ilvl="0">
      <w:lvlJc w:val="left"/>
      <w:lvlText w:val="(%1)"/>
      <w:numFmt w:val="lowerLetter"/>
      <w:start w:val="3"/>
    </w:lvl>
  </w:abstractNum>
  <w:abstractNum w:abstractNumId="111">
    <w:nsid w:val="175DFCF0"/>
    <w:multiLevelType w:val="hybridMultilevel"/>
    <w:lvl w:ilvl="0">
      <w:lvlJc w:val="left"/>
      <w:lvlText w:val="(%1)"/>
      <w:numFmt w:val="lowerLetter"/>
      <w:start w:val="2"/>
    </w:lvl>
  </w:abstractNum>
  <w:abstractNum w:abstractNumId="112">
    <w:nsid w:val="4F97E3E4"/>
    <w:multiLevelType w:val="hybridMultilevel"/>
    <w:lvl w:ilvl="0">
      <w:lvlJc w:val="left"/>
      <w:lvlText w:val="(%1)"/>
      <w:numFmt w:val="lowerLetter"/>
      <w:start w:val="4"/>
    </w:lvl>
  </w:abstractNum>
  <w:abstractNum w:abstractNumId="113">
    <w:nsid w:val="53B0A9E"/>
    <w:multiLevelType w:val="hybridMultilevel"/>
    <w:lvl w:ilvl="0">
      <w:lvlJc w:val="left"/>
      <w:lvlText w:val="(%1)"/>
      <w:numFmt w:val="lowerRoman"/>
      <w:start w:val="2"/>
    </w:lvl>
  </w:abstractNum>
  <w:abstractNum w:abstractNumId="114">
    <w:nsid w:val="34FD6B4F"/>
    <w:multiLevelType w:val="hybridMultilevel"/>
    <w:lvl w:ilvl="0">
      <w:lvlJc w:val="left"/>
      <w:lvlText w:val="(%1)"/>
      <w:numFmt w:val="lowerRoman"/>
      <w:start w:val="4"/>
    </w:lvl>
  </w:abstractNum>
  <w:abstractNum w:abstractNumId="115">
    <w:nsid w:val="5915FF32"/>
    <w:multiLevelType w:val="hybridMultilevel"/>
    <w:lvl w:ilvl="0">
      <w:lvlJc w:val="left"/>
      <w:lvlText w:val="(%1)"/>
      <w:numFmt w:val="lowerLetter"/>
      <w:start w:val="2"/>
    </w:lvl>
  </w:abstractNum>
  <w:abstractNum w:abstractNumId="116">
    <w:nsid w:val="56438D15"/>
    <w:multiLevelType w:val="hybridMultilevel"/>
    <w:lvl w:ilvl="0">
      <w:lvlJc w:val="left"/>
      <w:lvlText w:val="(%1)"/>
      <w:numFmt w:val="lowerLetter"/>
      <w:start w:val="2"/>
    </w:lvl>
  </w:abstractNum>
  <w:abstractNum w:abstractNumId="117">
    <w:nsid w:val="519E3149"/>
    <w:multiLevelType w:val="hybridMultilevel"/>
    <w:lvl w:ilvl="0">
      <w:lvlJc w:val="left"/>
      <w:lvlText w:val="(%1)"/>
      <w:numFmt w:val="lowerLetter"/>
      <w:start w:val="4"/>
    </w:lvl>
  </w:abstractNum>
  <w:abstractNum w:abstractNumId="118">
    <w:nsid w:val="2C6E4AFD"/>
    <w:multiLevelType w:val="hybridMultilevel"/>
    <w:lvl w:ilvl="0">
      <w:lvlJc w:val="left"/>
      <w:lvlText w:val="(%1)"/>
      <w:numFmt w:val="upperLetter"/>
      <w:start w:val="5"/>
    </w:lvl>
    <w:lvl w:ilvl="1">
      <w:lvlJc w:val="left"/>
      <w:lvlText w:val="(%2)"/>
      <w:numFmt w:val="lowerLetter"/>
      <w:start w:val="2"/>
    </w:lvl>
  </w:abstractNum>
  <w:abstractNum w:abstractNumId="119">
    <w:nsid w:val="17A1B582"/>
    <w:multiLevelType w:val="hybridMultilevel"/>
    <w:lvl w:ilvl="0">
      <w:lvlJc w:val="left"/>
      <w:lvlText w:val="(%1)"/>
      <w:numFmt w:val="lowerRoman"/>
      <w:start w:val="1"/>
    </w:lvl>
  </w:abstractNum>
  <w:abstractNum w:abstractNumId="120">
    <w:nsid w:val="4DF72E4E"/>
    <w:multiLevelType w:val="hybridMultilevel"/>
    <w:lvl w:ilvl="0">
      <w:lvlJc w:val="left"/>
      <w:lvlText w:val="(%1)"/>
      <w:numFmt w:val="lowerRoman"/>
      <w:start w:val="4"/>
    </w:lvl>
  </w:abstractNum>
  <w:abstractNum w:abstractNumId="121">
    <w:nsid w:val="5046B5A9"/>
    <w:multiLevelType w:val="hybridMultilevel"/>
    <w:lvl w:ilvl="0">
      <w:lvlJc w:val="left"/>
      <w:lvlText w:val="(%1)"/>
      <w:numFmt w:val="lowerLetter"/>
      <w:start w:val="3"/>
    </w:lvl>
  </w:abstractNum>
  <w:abstractNum w:abstractNumId="122">
    <w:nsid w:val="5D888A08"/>
    <w:multiLevelType w:val="hybridMultilevel"/>
    <w:lvl w:ilvl="0">
      <w:lvlJc w:val="left"/>
      <w:lvlText w:val="(%1)"/>
      <w:numFmt w:val="lowerLetter"/>
      <w:start w:val="2"/>
    </w:lvl>
  </w:abstractNum>
  <w:abstractNum w:abstractNumId="123">
    <w:nsid w:val="2A082C70"/>
    <w:multiLevelType w:val="hybridMultilevel"/>
    <w:lvl w:ilvl="0">
      <w:lvlJc w:val="left"/>
      <w:lvlText w:val="(%1)"/>
      <w:numFmt w:val="lowerLetter"/>
      <w:start w:val="3"/>
    </w:lvl>
  </w:abstractNum>
  <w:abstractNum w:abstractNumId="124">
    <w:nsid w:val="5EC6AFD4"/>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25">
    <w:nsid w:val="19E21BB2"/>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126">
    <w:nsid w:val="75E0858A"/>
    <w:multiLevelType w:val="hybridMultilevel"/>
    <w:lvl w:ilvl="0">
      <w:lvlJc w:val="left"/>
      <w:lvlText w:val="(%1)"/>
      <w:numFmt w:val="lowerRoman"/>
      <w:start w:val="4"/>
    </w:lvl>
  </w:abstractNum>
  <w:abstractNum w:abstractNumId="127">
    <w:nsid w:val="57A61A29"/>
    <w:multiLevelType w:val="hybridMultilevel"/>
    <w:lvl w:ilvl="0">
      <w:lvlJc w:val="left"/>
      <w:lvlText w:val="(%1)"/>
      <w:numFmt w:val="lowerLetter"/>
      <w:start w:val="4"/>
    </w:lvl>
  </w:abstractNum>
  <w:abstractNum w:abstractNumId="128">
    <w:nsid w:val="5399C654"/>
    <w:multiLevelType w:val="hybridMultilevel"/>
    <w:lvl w:ilvl="0">
      <w:lvlJc w:val="left"/>
      <w:lvlText w:val="(%1)"/>
      <w:numFmt w:val="lowerLetter"/>
      <w:start w:val="2"/>
    </w:lvl>
  </w:abstractNum>
  <w:abstractNum w:abstractNumId="129">
    <w:nsid w:val="20EE1348"/>
    <w:multiLevelType w:val="hybridMultilevel"/>
    <w:lvl w:ilvl="0">
      <w:lvlJc w:val="left"/>
      <w:lvlText w:val="(%1)"/>
      <w:numFmt w:val="lowerLetter"/>
      <w:start w:val="3"/>
    </w:lvl>
  </w:abstractNum>
  <w:abstractNum w:abstractNumId="130">
    <w:nsid w:val="4427069A"/>
    <w:multiLevelType w:val="hybridMultilevel"/>
    <w:lvl w:ilvl="0">
      <w:lvlJc w:val="left"/>
      <w:lvlText w:val="(%1)"/>
      <w:numFmt w:val="lowerLetter"/>
      <w:start w:val="2"/>
    </w:lvl>
  </w:abstractNum>
  <w:abstractNum w:abstractNumId="131">
    <w:nsid w:val="B37E80A"/>
    <w:multiLevelType w:val="hybridMultilevel"/>
    <w:lvl w:ilvl="0">
      <w:lvlJc w:val="left"/>
      <w:lvlText w:val="(%1)"/>
      <w:numFmt w:val="lowerLetter"/>
      <w:start w:val="2"/>
    </w:lvl>
  </w:abstractNum>
  <w:abstractNum w:abstractNumId="132">
    <w:nsid w:val="2157F6BC"/>
    <w:multiLevelType w:val="hybridMultilevel"/>
    <w:lvl w:ilvl="0">
      <w:lvlJc w:val="left"/>
      <w:lvlText w:val="(%1)"/>
      <w:numFmt w:val="lowerLetter"/>
      <w:start w:val="1"/>
    </w:lvl>
  </w:abstractNum>
  <w:abstractNum w:abstractNumId="133">
    <w:nsid w:val="704E1DD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2026-04-08T16:18:27Z</dcterms:created>
  <dcterms:modified xsi:type="dcterms:W3CDTF">2026-04-08T16:18:27Z</dcterms:modified>
</cp:coreProperties>
</file>