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660" w:right="1860" w:hanging="3652"/>
        <w:spacing w:after="0" w:line="397" w:lineRule="auto"/>
        <w:tabs>
          <w:tab w:leader="none" w:pos="3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20" w:type="dxa"/>
            <w:vAlign w:val="bottom"/>
          </w:tcPr>
          <w:p>
            <w:pPr>
              <w:ind w:left="1240"/>
              <w:spacing w:after="0" w:line="170"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280"/>
              <w:spacing w:after="0" w:line="170"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20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October 17, 2025 was 137,153,223.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1"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PART I — FINANCIAL INFORMATION</w:t>
            </w:r>
          </w:p>
        </w:tc>
        <w:tc>
          <w:tcPr>
            <w:tcW w:w="738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and nine months ended September 30,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and nine months ended September 30, 2025 and 2024</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2025 and December 31, 2024</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w:t>
            </w:r>
          </w:p>
        </w:tc>
        <w:tc>
          <w:tcPr>
            <w:tcW w:w="13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620" w:type="dxa"/>
            <w:vAlign w:val="bottom"/>
            <w:gridSpan w:val="13"/>
          </w:tcPr>
          <w:p>
            <w:pPr>
              <w:spacing w:after="0"/>
              <w:rPr>
                <w:sz w:val="18"/>
                <w:szCs w:val="18"/>
                <w:color w:val="auto"/>
              </w:rPr>
            </w:pPr>
          </w:p>
        </w:tc>
        <w:tc>
          <w:tcPr>
            <w:tcW w:w="1860" w:type="dxa"/>
            <w:vAlign w:val="bottom"/>
            <w:gridSpan w:val="4"/>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7"/>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4 — Discontinued and Disposed Operations</w:t>
            </w:r>
          </w:p>
        </w:tc>
        <w:tc>
          <w:tcPr>
            <w:tcW w:w="61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5 — Inventories, net</w:t>
            </w:r>
          </w:p>
        </w:tc>
        <w:tc>
          <w:tcPr>
            <w:tcW w:w="1720" w:type="dxa"/>
            <w:vAlign w:val="bottom"/>
            <w:gridSpan w:val="10"/>
          </w:tcPr>
          <w:p>
            <w:pPr>
              <w:spacing w:after="0"/>
              <w:rPr>
                <w:sz w:val="18"/>
                <w:szCs w:val="18"/>
                <w:color w:val="auto"/>
              </w:rPr>
            </w:pPr>
          </w:p>
        </w:tc>
        <w:tc>
          <w:tcPr>
            <w:tcW w:w="61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6 — Property, Plant and Equipment, net</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 7 — Credit Losses</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8 — Goodwill and Other Intangible Assets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9 — Restructuring Activities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Note 10 — Borrowings</w:t>
            </w:r>
          </w:p>
        </w:tc>
        <w:tc>
          <w:tcPr>
            <w:tcW w:w="780" w:type="dxa"/>
            <w:vAlign w:val="bottom"/>
            <w:gridSpan w:val="7"/>
          </w:tcPr>
          <w:p>
            <w:pPr>
              <w:spacing w:after="0"/>
              <w:rPr>
                <w:sz w:val="18"/>
                <w:szCs w:val="18"/>
                <w:color w:val="auto"/>
              </w:rPr>
            </w:pP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11 — Financial Instruments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12 — Income Taxes</w:t>
            </w:r>
          </w:p>
        </w:tc>
        <w:tc>
          <w:tcPr>
            <w:tcW w:w="540" w:type="dxa"/>
            <w:vAlign w:val="bottom"/>
            <w:gridSpan w:val="4"/>
          </w:tcPr>
          <w:p>
            <w:pPr>
              <w:spacing w:after="0"/>
              <w:rPr>
                <w:sz w:val="18"/>
                <w:szCs w:val="18"/>
                <w:color w:val="auto"/>
              </w:rPr>
            </w:pPr>
          </w:p>
        </w:tc>
        <w:tc>
          <w:tcPr>
            <w:tcW w:w="730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13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14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80" w:type="dxa"/>
            <w:vAlign w:val="bottom"/>
            <w:gridSpan w:val="4"/>
          </w:tcPr>
          <w:p>
            <w:pPr>
              <w:spacing w:after="0"/>
              <w:rPr>
                <w:sz w:val="18"/>
                <w:szCs w:val="18"/>
                <w:color w:val="auto"/>
              </w:rPr>
            </w:pP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 17 — Stockholders' Equity</w:t>
            </w: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100" w:type="dxa"/>
            <w:vAlign w:val="bottom"/>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13"/>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tcPr>
          <w:p>
            <w:pPr>
              <w:spacing w:after="0"/>
              <w:rPr>
                <w:sz w:val="18"/>
                <w:szCs w:val="18"/>
                <w:color w:val="auto"/>
              </w:rPr>
            </w:pP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320" w:type="dxa"/>
            <w:vAlign w:val="bottom"/>
            <w:gridSpan w:val="2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4"/>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920" w:type="dxa"/>
            <w:vAlign w:val="bottom"/>
            <w:gridSpan w:val="20"/>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4"/>
          </w:tcPr>
          <w:p>
            <w:pPr>
              <w:spacing w:after="0"/>
              <w:rPr>
                <w:sz w:val="18"/>
                <w:szCs w:val="18"/>
                <w:color w:val="auto"/>
              </w:rPr>
            </w:pPr>
          </w:p>
        </w:tc>
        <w:tc>
          <w:tcPr>
            <w:tcW w:w="7920" w:type="dxa"/>
            <w:vAlign w:val="bottom"/>
            <w:gridSpan w:val="2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5,993,492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5,816,043</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1,220,355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3,596,136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3,603,146</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2,212,897</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1,301,606</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911,291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102,867</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(597,913)</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1,453,366</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291,781</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1,161,585</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811,881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1,261,143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from discontinued operations: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137,913</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138,830</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ind w:left="516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3"/>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r>
      <w:tr>
        <w:trPr>
          <w:trHeight w:val="225"/>
        </w:trPr>
        <w:tc>
          <w:tcPr>
            <w:tcW w:w="60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811,881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1,261,143</w:t>
            </w: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earnings (loss), net of tax</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r>
      <w:tr>
        <w:trPr>
          <w:trHeight w:val="229"/>
        </w:trPr>
        <w:tc>
          <w:tcPr>
            <w:tcW w:w="6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156"/>
        </w:trPr>
        <w:tc>
          <w:tcPr>
            <w:tcW w:w="6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Total foreign currency translation adjustments (net of $(584), $10,468, $34,216 and</w:t>
            </w: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4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$3,008 tax benefit (provision), respectively)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 included in net periodic pension cost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6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credits included in net periodic pension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6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Settlement and curtailment impact</w:t>
            </w:r>
            <w:r>
              <w:rPr>
                <w:rFonts w:ascii="Times New Roman" w:cs="Times New Roman" w:eastAsia="Times New Roman" w:hAnsi="Times New Roman"/>
                <w:sz w:val="10"/>
                <w:szCs w:val="10"/>
                <w:color w:val="auto"/>
              </w:rPr>
              <w:t>(1)</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6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$129, $138, $554 and</w:t>
            </w: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$415 tax benefit, respectively)</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6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net loss arising during period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6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loss (gain) reclassified into earnings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156"/>
        </w:trPr>
        <w:tc>
          <w:tcPr>
            <w:tcW w:w="6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flow hedges (net of $(340), $315, $933 and $269 tax benefit (provision),</w:t>
            </w: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121,514</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24,625</w:t>
            </w:r>
          </w:p>
        </w:tc>
      </w:tr>
      <w:tr>
        <w:trPr>
          <w:trHeight w:val="24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1,285,768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(loss) earnings from discontinued operations, net in the condensed consolidated statement of earnings.</w:t>
      </w:r>
    </w:p>
    <w:p>
      <w:pPr>
        <w:spacing w:after="0" w:line="217" w:lineRule="exact"/>
        <w:rPr>
          <w:rFonts w:ascii="Times New Roman" w:cs="Times New Roman" w:eastAsia="Times New Roman" w:hAnsi="Times New Roman"/>
          <w:sz w:val="21"/>
          <w:szCs w:val="21"/>
          <w:color w:val="auto"/>
          <w:vertAlign w:val="superscript"/>
        </w:rPr>
      </w:pPr>
    </w:p>
    <w:p>
      <w:pPr>
        <w:ind w:left="34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1,844,877</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29"/>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4,484,497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550,183</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13,420,643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400,056</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292,371</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198,629</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335,326</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2,196,527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2,529,346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7,662,936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13,420,643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4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13,777,499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7,441,305</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($0.520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(71,162)</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7,662,936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347,100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(70,723)</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accelerated share repurchase program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886,998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12,044,400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(7,280,164)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5,697,999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811,881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($1.55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(213,181)</w:t>
            </w:r>
          </w:p>
        </w:tc>
        <w:tc>
          <w:tcPr>
            <w:tcW w:w="0" w:type="dxa"/>
            <w:vAlign w:val="bottom"/>
          </w:tcPr>
          <w:p>
            <w:pPr>
              <w:spacing w:after="0"/>
              <w:rPr>
                <w:sz w:val="1"/>
                <w:szCs w:val="1"/>
                <w:color w:val="auto"/>
              </w:rPr>
            </w:pPr>
          </w:p>
        </w:tc>
      </w:tr>
      <w:tr>
        <w:trPr>
          <w:trHeight w:val="175"/>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37,605</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acquired</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921,980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14,008,333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7,662,936</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10,995,624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5,106,605</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($1.54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(212,367)</w:t>
            </w: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accelerated share repurchase program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excise tax</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886,998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12,044,400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(7,280,164)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5,697,999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811,881</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1,261,143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(earnings) from discontinued operations,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(99,558)</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251,179</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dispositions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(597,913)</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effect of changes in assets and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(36,936)</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(60,549)</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(30,322)</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31,174</w:t>
            </w:r>
          </w:p>
        </w:tc>
      </w:tr>
      <w:tr>
        <w:trPr>
          <w:trHeight w:val="21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deferred taxes, net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(39,861)</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794,059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648,881</w:t>
            </w: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(163,274)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(113,626)</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(602,654)</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dispositions, net of cash transferred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767,689</w:t>
            </w:r>
          </w:p>
        </w:tc>
      </w:tr>
      <w:tr>
        <w:trPr>
          <w:trHeight w:val="21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63,119</w:t>
            </w: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Repurchase of common stock, including accelerated share repurchase program</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 in commercial paper and other short-term borrowings,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(88,987)</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(213,181)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(212,367)</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Payments to settle employee tax obligations on exercise of share-based awards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(13,731)</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(280,347)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(818,445)</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 of discontinued operations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108,284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(14,359)</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discontinued operations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93,925</w:t>
            </w:r>
          </w:p>
        </w:tc>
      </w:tr>
      <w:tr>
        <w:trPr>
          <w:trHeight w:val="151"/>
        </w:trPr>
        <w:tc>
          <w:tcPr>
            <w:tcW w:w="8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(19,095)</w:t>
            </w:r>
          </w:p>
        </w:tc>
      </w:tr>
      <w:tr>
        <w:trPr>
          <w:trHeight w:val="216"/>
        </w:trPr>
        <w:tc>
          <w:tcPr>
            <w:tcW w:w="80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at beginning of period, including cash held for sale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1,844,877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415,861</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1,552,804</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396,766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held for sale as of December 31, 2023 totaled $17,300. There was no cash held for sale as of December 31, 2024.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2024, included in the Company's Annual Report on Form 10-K filed with the SEC on February 14, 2025. The year-end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Environmental Solutions Group ("ESG") business, an operating company within the Engineered Products segment, was sold during the fourth quarter of 2024 and reported as discontinued operations. Therefore, the Company has classified the results of operations prior to the sale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these categories best depict the nature and amount of the Company’s revenue. See Note 16 — Segment Information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we estimated that $333,272 in revenue is expected to be recognized in the future related to performance obligations that are unsatisfied (or partially unsatisfied) at the end of the reporting period. We expect to recognize approximately 60.5% of the Company's unsatisfied (or partially unsatisfied) performance obligations as revenue through 2026, 24.1% in 2027, with the remaining balance to be recognized in 2028 and thereafter.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194,798</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nine months ended September 30, 2025 and 2024 that was included in contract liabilities at the beginning of the period amounted to $140,267 and $162,670,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acquired four businesses in separate transactions for total consideration of $665,194, net of cash acquired and inclusive of contingent consideration of $2,000. These businesses were acquired to complement and expand upon existing operations within the Pumps &amp; Process Solutions and Clean Energy &amp; Fueling segments. The goodwill recorded as a result of these acquisitions represents the economic benefits expected to be derived from product line expansions and operational synergies. Goodwill of $16,499 is deductible for income tax purposes and $346,803 is non-deductible for income tax purposes for these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Sikora</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11, 2025, the Company acquired 99.8% of the equity interest in Sikora AG ("Sikora"), a provider of precision measurement, inspection and control solutions for production processes in the wires and cables, hoses, optical fibers and plastic industries for $608,401, net of cash acquired and inclusive of measurement period adjustments. The Sikora acquisition strengthens the Company's offerings in the Pumps &amp; Process Solutions segment. In connection with this acquisition, the Company recorded preliminary goodwill of $337,202 and intangible assets of $222,044 for customer intangibles, $73,976 for unpatented technology and $17,805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 of intangible assets include discounted future cash flows, customer attrition rates and discount rates.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the liabilities assumed and the related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in the Sikora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313,825</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(32,203)</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(96,177)</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608,401</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2025, the Company acquired 100% of the equity interest in Cryogenic Machinery Corp. ("Cryo-Mach"), a provider of cryogenic centrifugal pumps, mechanical seals and accessories, for total consideration of $28,909, net of cash acquired and inclusive of measurement period adjustments. The Cryo-Mach business was acquired to expand the Company's participation in cryogenic applications within the Pumps &amp; Process Solutions segment. In connection with this acquisition, the Company recorded preliminary tax-deductible goodwill of $9,250 and intangible assets of $21,020, primarily related to customer intangibles.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2025, the Company acquired 100% of the equity interest in ipp Pump Products GmbH ("ipp"), a specialized manufacturer of sanitary pump technologies, including hygienic lobe, progressive, and other processing equipment for $16,529, net of cash acquired and inclusive of measurement period adjustments. ipp's products expand the Company's capabilities in critical hygienic applications within the Pumps &amp; Process Solutions segment. In connection with this acquisition, the Company recorded preliminary goodwill of $9,601 and intangible assets of $5,648, related to customer intangibles.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the Company acquired 100% of the equity interest in Site IQ LLC ("SIQ"), an industrial internet of things company with a focus on remote monitoring of fueling sites, for total consideration of $11,355, net of cash acquired and inclusive of contingent consideration. SIQ's hardware and software products expand the Company's ability to deliver a comprehensive solution that brings actionable intelligence and remote hardware service to retailers and service companies within the Clean Energy &amp; Fueling segment. In connection with this acquisition, the Company recorded preliminary tax-deductible goodwill of $7,249 and intangible assets of $4,600, related to unpatented technology.</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acquisitions during the nine months ended September 30, 2025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346,803</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245,612</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80,836</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708,395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acquired seven businesses in separate transactions for total consideration of $639,876, net of cash acquired and inclusive of contingent consideration of $33,736 (a non-cash financing activity) and measurement period adjustments. These businesses were acquired to complement and expand upon existing operations within the Clean Energy &amp; Fueling, Engineered Products and Imaging &amp; Identification segments. The goodwill recorded as a result of these acquisitions represents the economic benefits expected to be derived from product line expansions and operational synergies and is non-deductible for income tax purposes.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2024, the Company acquired 100% of the equity interests in the Marshall Excelsior Company ("MEC"), a supplier of highly-engineered flow control components for transportation, storage, and use in liquefied petroleum gas and other industrial gases, for $395,810, net of cash acquired and inclusive of measurement period adjustments. The MEC acquisition expands the Company's critical flow control capabilities in the Clean Energy &amp; Fueling segment. In connection with this acquisition, the Company recorded goodwill of $192,762 and intangible assets of $194,100, primarily related to customer intangibles.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Company recorded measurement period adjustments primarily related to certain liabilities. These adjustments are based on facts and circumstances that existed, but were not known, as of the acquisition date which resulted in an increase in goodwill of $8,884.</w:t>
      </w:r>
    </w:p>
    <w:p>
      <w:pPr>
        <w:spacing w:after="0" w:line="21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in the MEC acquisition,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57,784</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395,810</w:t>
            </w:r>
          </w:p>
        </w:tc>
      </w:tr>
      <w:tr>
        <w:trPr>
          <w:trHeight w:val="21"/>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acquired 100% of the equity interests in the Transchem Group ("Transchem"), a supplier of car wash chemicals and associated solutions, for $48,241, net of cash acquired and inclusive of contingent consideration and measurement period adjustments.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$25,132 and intangible assets of $26,309,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2024, the Company acquired 100% of the equity interests in Bulloch Technologies, Inc. ("Bulloch"), a provider of point-of-sale ("POS"), forecourt controller and electronic payment server solutions to the convenience retail industry, for $121,917, net of cash acquired and inclusive of contingent consideration and measurement period adjustments. The acquisition of Bulloch expands the Company's offering in North America with highly complementary POS and forecourt solutions within the Clean Energy &amp; Fueling segment. In connection with this acquisition, the Company recorded goodwill of $73,850 and intangible assets of $62,417, primarily related to customer intangibles.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2024, the Company acquired 100% of the equity interests in Demaco Holland B.V. ("Demaco"), a provider of critical flow control components for cryogenic applications used in a wide range of end markets, for $42,556, net of cash acquired and inclusive of contingent consideration and measurement period adjustments. The acquisition of Demaco expands the Company's offering within the Clean Energy &amp; Fueling segment. In connection with this acquisition, the Company recorded goodwill of $23,788 and intangible assets of $20,159, primarily related to customer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2024, the Company acquired 100% of the equity interest in Criteria Labs, Inc. ("Criteria Labs"), a provider of radio frequency devices and microelectronic engineering solutions tailored for high-reliability applications, for $14,737, net of cash acquired and inclusive of contingent consideration and measurement period adjustments. The acquisition of Criteria Labs expands the Company's offerings within the Engineered Products segment. In connection with this acquisition, the Company recorded goodwill of $7,252 and intangible assets of $7,900, primarily related to unpatented technologies.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2024, the Company acquired 100% of the equity interest in SPS Cryogenics B.V. and Special Gas Systems B.V. ("SPS Cryogenics"), a designer, manufacturer, and supplier of vacuum-insulated piping systems for a wide variety of liquefied gases, for $10,918, net of cash acquired and inclusive of measurement period adjustments. The acquisition of SPS Cryogenics expands the Company's presence in Europe with highly complementary offerings within the Clean Energy &amp; Fueling segment. In connection with this acquisition, the Company recorded goodwill of $4,956 and intangible assets of $5,677, primarily related to customer intangibles.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other immaterial acquisition was completed during the nine months ended September 30, 2024, within the Imaging &amp; Identification segment. The acquisition is highly complementary to our existing track and trace solutions business, grows our presence in the European market and adds complementary offerings to our portfolio.</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presents, for the six acquisitions other than MEC,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126,358</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(41,238)</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244,066</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acquisitions during the nine months ended September 30, 2024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7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648,198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Discontinued and Disposed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to Terex Corporation for total preliminary consideration, net of cash transferred, of $2.0 billion, subject to post-closing adjustments. The ESG sale qualifies for discontinued operations reporting because its disposal represented a strategic shift with a major effect on the Company's operations and financial results. As a result, the Company has classified the results of operations as discontinued operations for the three and nine months ended September 30, 2025, and 2024 in the condensed consolidated statements of earnings and for the nine months ended September 30, 2025, and 2024 in the condensed consolidated statements of cash flows. During the three months ended September 30, 2025, other post-closing adjustments of $1,640 ($1,296 after-tax) were recorded resulting in a loss from discontinued operations, net in the condensed consolidated statements of earnings. During the nine months ended September 30, 2025, net working capital adjustments of $9,796 ($7,739 after-tax) and other post-closing adjustments of $3,837 ($3,043 after-tax) were recorded resulting in a loss from discontinued operations, net of $10,782 in the condensed consolidated statements of earnings.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a jury returned a verdict against the ESG business for approximately $58.9 million in connection with litigation involving alleged breach of contract and inducement of breach of fiduciary duty claims arising from certain product development efforts. ESG has filed post-trial motions and, if necessary, will file an appeal with the U.S. Court of Appeals for the Seventh Circuit. The Company has not recognized an expense in connection with this matter because it does not currently believe a loss is probable.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results of the Company's discontinued operations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7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671,479</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474,705</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196,774</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67,599</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129,175</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155"/>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 discontinued operations</w:t>
            </w:r>
          </w:p>
        </w:tc>
        <w:tc>
          <w:tcPr>
            <w:tcW w:w="1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before provision for income taxes</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128,479</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99,558</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Dispositions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dispositions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$674,727. This sale resulted in a preliminary pre-tax gain on disposition of $529,201 ($414,372 after-tax) included within the condensed consolidated statements of earnings for the nine months ended September 30, 2024. The sale did not meet the criteria to be classified as a discontinued operation, as it did not represent a strategic shift that would have a major effect on operations and financial results.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2024, a minority owned equity method investment held within the Climate &amp; Sustainability Technologies segment was sold and the Company received its proportionate share of the proceeds amounting to $92,962. The sale resulted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preliminary pre-tax gain of $68,712, subject to customary post-closing adjustments and included within the condensed consolidated statements of earnings for the three and nine months ended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649,993</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1,274,162</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(129,324)</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1,144,838</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626,075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1,945,479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2,633,824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(1,645,900)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totaled $42,698 and $38,830 for the three months ended September 30, 2025 and 2024, respectively. For the nine months ended September 30, 2025 and 2024, depreciation expense totaled $124,524 and $115,210,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deducted from accounts receivable that represent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30"/>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8.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510,968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130,367</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513,026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5,403,860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additions of $363,302 to goodwill as a result of the acquisitions discussed in Note 3 — Acquisitions. Additionally, during the nine months ended September 30, 2025, the Company recognized measurement period adjustments of $4,489 primarily related to the Marshall Excelsior Company acquisition in the third quarter of 2024 under the Clean Energy &amp; Fueling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1,330,100</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1,169,628</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126,471</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108,635</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1,484,377</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amortization expense was $55,763 and $47,838, respectively. For the nine months ended September 30, 2025 and 2024, amortization expense was $155,738 and $135,969, respectively. Amortization expense is primarily comprised of acquisition-related intangible amortization.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acquired $345,093 of intangible assets, primarily customer intangibles, through acquisitions within the Pumps &amp; Process Solutions and Clean Energy &amp; Fueling segments. See Note 3 — Acquisitions for further details.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9. Restructuring Activities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8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20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2"/>
                <w:szCs w:val="22"/>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04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3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r>
      <w:tr>
        <w:trPr>
          <w:trHeight w:val="22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3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41,629</w:t>
            </w: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w:t>
            </w: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41,629</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restructuring expenses of $10,603 and $32,442 incurred during the three and nine months ended September 30, 2025, respectively, were primarily related to exit costs and headcount reductions in the Climate &amp; Sustainability Technologies, Clean Energy &amp; Fueling, and Pumps &amp; Process Solutions segments. These restructuring programs were initiated in 2024 and 2025 and the Company will continue to make proactive adjustments to its cost structure to align with current demand trends.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6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6"/>
              <w:spacing w:after="0" w:line="230" w:lineRule="exact"/>
              <w:rPr>
                <w:sz w:val="20"/>
                <w:szCs w:val="20"/>
                <w:color w:val="auto"/>
              </w:rPr>
            </w:pPr>
            <w:r>
              <w:rPr>
                <w:rFonts w:ascii="Times New Roman" w:cs="Times New Roman" w:eastAsia="Times New Roman" w:hAnsi="Times New Roman"/>
                <w:sz w:val="18"/>
                <w:szCs w:val="18"/>
                <w:color w:val="auto"/>
              </w:rPr>
              <w:t xml:space="preserve">(8,532)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Exit reserves activity includes non-cash asset charges related to a product line exit within the Climate &amp; Sustainability Technologies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10. Borrowings</w:t>
            </w:r>
          </w:p>
        </w:tc>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399,916</w:t>
            </w:r>
          </w:p>
        </w:tc>
        <w:tc>
          <w:tcPr>
            <w:tcW w:w="6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 and current portion of long-term debt</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400,646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1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4"/>
                <w:szCs w:val="14"/>
                <w:color w:val="auto"/>
              </w:rPr>
            </w:pPr>
          </w:p>
        </w:tc>
        <w:tc>
          <w:tcPr>
            <w:tcW w:w="1380" w:type="dxa"/>
            <w:vAlign w:val="bottom"/>
            <w:gridSpan w:val="5"/>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10-year notes due November 15,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399,916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698,820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622,313</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581,534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517,863</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199,732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199,657</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298,166</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297,495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297,308</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248,590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248,505</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32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345,741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345,534</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2,928,757</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current portion</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(399,916)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8"/>
        <w:spacing w:after="0" w:line="256" w:lineRule="auto"/>
        <w:tabs>
          <w:tab w:leader="none" w:pos="165"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Carrying amount is net of unamortized debt discount and deferred debt issuance costs. Total unamortized debt discounts on net long-term debt were $7.6 million and $8.5 million as of September 30, 2025 and December 31, 2024, respectively. Total deferred debt issuance costs on net long-term debt were $5.7 million and $6.8 million as of September 30, 2025 and December 31, 2024, respectively.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2023, the Company entered into a $1.0 billion five-year unsecured revolving credit facility and on April 3, 2025, the Company entered into a new $500.0 million 364-day unsecured revolving credit facility (together, the "Credit Agreements") with a syndicate of banks. The current 364-day credit facility replaced the previous $500.0 million 364-day credit facility, which expired on April 3, 2025. The lenders' commitments under the Credit Agreements will terminate and any outstanding loans under the Credit Agreements will mature on April 6, 2028 and April 2, 2026, respectively. The Company may elect to extend the maturity date of any loans under the new 364-day credit facility until April 2, 2027,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September 30, 2025 and December 31, 2024, there were no outstanding borrowings under the five-year, previous or current 364-day credit facilities.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September 30, 2025 and had an interest coverage ratio of consolidated EBITDA to consolidated net interest expense of 109.8 to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approximately $235.0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September 30, 2025 and December 31, 2024, the Company had contracts with total notional amounts of $153,285 and $142,835, respectively, to exchange currencies, principally euro, pound sterling, Swedish krona, Canadian dollar, Chinese yuan, and Swiss franc. The Company believes it is probable that all forecasted cash flow transactions will occur.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$94,228 and $75,784 as of September 30, 2025 and December 31, 2024,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designated as cash flow hedges held by the Company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the balance sheet lines in which they are recorded: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designates certain derivatives as net investment hedges to hedge the net assets of certain foreign subsidiaries which are exposed to volatility in foreign currency exchange rates. The Company has designated the €600,000 and €500,000 of euro-denominated notes issued November 9, 2016 and November 4, 2019, respectively, and a €550,000 currency forward contract entered into in May of 2025 as hedges of its net investment in euro-denominated operations. Changes in the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value of the euro-denominated debt and currency forward contract, which are calculated using the spot method, are recognized in foreign currency translation adjustments within other comprehensive earnings (loss) of the condensed consolidated statements of comprehensive earnings. These changes in fair value of the euro-denominated debt and currency forward contract resulting from exchange rate differences are offset by changes in the net investment due to the high degree of effectiveness between the hedging instruments and the exposure being hedged.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fair value of the currency forward contract designated as a net investment hedge is $12,702 and is recorded in other accrued expenses 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(loss)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2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euro-denominated debt</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currency forward contract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net investment hedges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net investment hedges, net of tax</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September 30, 2025 and December 31, 2024:</w:t>
      </w:r>
    </w:p>
    <w:p>
      <w:pPr>
        <w:sectPr>
          <w:pgSz w:w="11900" w:h="16838" w:orient="portrait"/>
          <w:cols w:equalWidth="0" w:num="1">
            <w:col w:w="11240"/>
          </w:cols>
          <w:pgMar w:left="320" w:top="126" w:right="339" w:bottom="1440" w:gutter="0" w:footer="0" w:header="0"/>
        </w:sectPr>
      </w:pPr>
    </w:p>
    <w:p>
      <w:pPr>
        <w:spacing w:after="0" w:line="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27305</wp:posOffset>
            </wp:positionV>
            <wp:extent cx="12941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8"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Level 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wp:posOffset>
            </wp:positionV>
            <wp:extent cx="1294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p>
      <w:pPr>
        <w:spacing w:after="0" w:line="31" w:lineRule="exact"/>
        <w:rPr>
          <w:sz w:val="20"/>
          <w:szCs w:val="20"/>
          <w:color w:val="auto"/>
        </w:rPr>
      </w:pPr>
    </w:p>
    <w:p>
      <w:pPr>
        <w:sectPr>
          <w:pgSz w:w="11900" w:h="16838" w:orient="portrait"/>
          <w:cols w:equalWidth="0" w:num="2">
            <w:col w:w="8800" w:space="660"/>
            <w:col w:w="178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4"/>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net investment hedges</w:t>
            </w:r>
          </w:p>
        </w:tc>
        <w:tc>
          <w:tcPr>
            <w:tcW w:w="8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September 30, 2025 and December 31, 2024, was $2,693,479 and $2,492,535, respectively. The estimated fair value of long-term debt is based on quoted market prices for similar instruments and is, therefore, classified as Level 2 within the fair value hierarchy.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short-term borrowings approximate their fair values as of September 30, 2025 and December 31, 2024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2025 and 2024 were 21.5% and 19.0%, respectively. The increase in the effective tax rate for the three months ended September 30, 2025 relative to the prior year comparable period was primarily due to an internal reorganization in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2025 and 2024 were 20.4% and 20.1%, respectively. The increase in the effective tax rate for the nine months ended September 30, 2025 relative to the prior year comparable period was primarily due to internal reorganizations in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$3,699.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nine months ended September 30, 2025, the Company issued stock-settled appreciation rights ("SARS") covering 283,837 shares, performance share awards ("PSAs") of 34,458 and restricted stock units ("RSUs") of 60,544. During the nine months ended September 30, 2024, the Company issued SARs covering 345,354 shares, PSAs of 43,602 and RSUs of 87,755.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PSAs granted in 2025 and 2024 vest based on the attainment of two equally weighted measures: (i) Dover’s performance relative to established internal metrics (performance condition) and (ii) Dover's performance relative to its peer group (companies listed under the S&amp;P 500 Industrials sector; market condition).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grant date fair value per share of the 2025 and 2024 PSAs' performance condition portion were $202.33 and $177.19,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grant date fair value of the 2025 and 2024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and vesting period for all 2025 and 2024 PSAs is three years.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$202.33 and $160.11 for RSUs granted in 2025 and 2024, respectively.</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(3,297)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2025, there was no pre-tax stock-based compensation expense attributable to discontinued operations. For the three months and nine months ended September 30, 2024, pre-tax stock-based compensation expense attributable to discontinued operations was $103 and $672, respectively. These expenses were included within stock-based compensation expense in the condensed consolidated statements of stockholders' equity. See Note 4 — Discontinued and Disposed Operations for further details.</w:t>
      </w:r>
    </w:p>
    <w:p>
      <w:pPr>
        <w:spacing w:after="0" w:line="203" w:lineRule="exact"/>
        <w:rPr>
          <w:sz w:val="20"/>
          <w:szCs w:val="20"/>
          <w:color w:val="auto"/>
        </w:rPr>
      </w:pPr>
    </w:p>
    <w:p>
      <w:pPr>
        <w:ind w:right="7820" w:firstLine="8"/>
        <w:spacing w:after="0" w:line="534" w:lineRule="auto"/>
        <w:tabs>
          <w:tab w:leader="none" w:pos="270" w:val="left"/>
        </w:tabs>
        <w:numPr>
          <w:ilvl w:val="0"/>
          <w:numId w:val="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Commitments and Contingent Liabilities </w:t>
      </w:r>
      <w:r>
        <w:rPr>
          <w:rFonts w:ascii="Times New Roman" w:cs="Times New Roman" w:eastAsia="Times New Roman" w:hAnsi="Times New Roman"/>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September 30, 2025 and December 31, 2024, these estimated liabilities for environmental and other matters, including private party claims for exposure to hazardous substances that are probable and estimable, were not significant.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estimated liabilities for these other legal matters that are probable and estimable, and at September 30, 2025 and December 31, 2024,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4 — Discontinued and Disposed Operations for details on litigation related to a discontinued operation.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September 30,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42,686</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(40,482)</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during the three and nine months ended September 30,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foreign currency translation losses to</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Settlement and curtailment costs</w:t>
            </w:r>
            <w:r>
              <w:rPr>
                <w:rFonts w:ascii="Times New Roman" w:cs="Times New Roman" w:eastAsia="Times New Roman" w:hAnsi="Times New Roman"/>
                <w:sz w:val="21"/>
                <w:szCs w:val="21"/>
                <w:color w:val="auto"/>
                <w:vertAlign w:val="superscript"/>
              </w:rPr>
              <w:t>(1)</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 hedges: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 reclassified into earnings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(loss) earnings from discontinued operations, net in the condensed consolidated statement of earnings.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translation losses for the nine months ended September 30, 2025 were recognized in other income, net within the condensed consolidated statements of earnings. Foreign currency translation losses for the nine months ended September 30, 2024 were recognized in gain on dispositions within the condensed consolidated statements of earnings as a result of the disposition of De-Sta-Co.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and credits in other income, net within the condensed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or cost of goods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reportable segments are as follows:</w:t>
      </w:r>
    </w:p>
    <w:p>
      <w:pPr>
        <w:spacing w:after="0" w:line="252"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(gain) loss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96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5,818,907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6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Adjusted cost of goods and services:</w:t>
            </w:r>
            <w:r>
              <w:rPr>
                <w:rFonts w:ascii="Times New Roman" w:cs="Times New Roman" w:eastAsia="Times New Roman" w:hAnsi="Times New Roman"/>
                <w:sz w:val="20"/>
                <w:szCs w:val="20"/>
                <w:b w:val="1"/>
                <w:bCs w:val="1"/>
                <w:color w:val="auto"/>
                <w:vertAlign w:val="superscript"/>
              </w:rPr>
              <w:t>(1)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9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adjusted segment cost of goods and services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3,543,375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3,545,137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9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selling, general and administrative expenses:</w:t>
            </w:r>
            <w:r>
              <w:rPr>
                <w:rFonts w:ascii="Times New Roman" w:cs="Times New Roman" w:eastAsia="Times New Roman" w:hAnsi="Times New Roman"/>
                <w:sz w:val="18"/>
                <w:szCs w:val="18"/>
                <w:b w:val="1"/>
                <w:bCs w:val="1"/>
                <w:color w:val="auto"/>
                <w:vertAlign w:val="superscript"/>
              </w:rPr>
              <w:t>(2)</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1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8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118,310</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129,623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segment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gridSpan w:val="5"/>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(6)</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00" w:hanging="168"/>
        <w:spacing w:after="0"/>
        <w:tabs>
          <w:tab w:leader="none" w:pos="5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cost of goods and services exclude expenses related to purchase accounting and restructuring and other costs.</w:t>
      </w:r>
    </w:p>
    <w:p>
      <w:pPr>
        <w:ind w:left="340" w:hanging="8"/>
        <w:spacing w:after="0" w:line="215" w:lineRule="auto"/>
        <w:tabs>
          <w:tab w:leader="none" w:pos="5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selling, general and administrative expenses exclude expenses related to purchase accounting, restructuring and other costs, gain on dispositions and include other income, net.</w:t>
      </w:r>
    </w:p>
    <w:p>
      <w:pPr>
        <w:ind w:left="500" w:hanging="168"/>
        <w:spacing w:after="0" w:line="201" w:lineRule="auto"/>
        <w:tabs>
          <w:tab w:leader="none" w:pos="5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92" w:lineRule="exact"/>
        <w:rPr>
          <w:sz w:val="20"/>
          <w:szCs w:val="20"/>
          <w:color w:val="auto"/>
        </w:rPr>
      </w:pPr>
    </w:p>
    <w:p>
      <w:pPr>
        <w:ind w:left="340" w:hanging="8"/>
        <w:spacing w:after="0" w:line="225" w:lineRule="auto"/>
        <w:tabs>
          <w:tab w:leader="none" w:pos="51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2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41,629</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w:t>
            </w: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dispositions, including post-closing adjustments; see Note 4 — Discontinued and Disposed Operations for further details.</w:t>
      </w:r>
    </w:p>
    <w:p>
      <w:pPr>
        <w:spacing w:after="0" w:line="10" w:lineRule="exact"/>
        <w:rPr>
          <w:rFonts w:ascii="Times New Roman" w:cs="Times New Roman" w:eastAsia="Times New Roman" w:hAnsi="Times New Roman"/>
          <w:sz w:val="21"/>
          <w:szCs w:val="21"/>
          <w:color w:val="auto"/>
          <w:vertAlign w:val="superscript"/>
        </w:rPr>
      </w:pPr>
    </w:p>
    <w:p>
      <w:pPr>
        <w:jc w:val="both"/>
        <w:ind w:left="340" w:hanging="8"/>
        <w:spacing w:after="0" w:line="245" w:lineRule="auto"/>
        <w:tabs>
          <w:tab w:leader="none" w:pos="489"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20" w:type="dxa"/>
            <w:vAlign w:val="bottom"/>
            <w:shd w:val="clear" w:color="auto" w:fill="CCEEFF"/>
          </w:tcPr>
          <w:p>
            <w:pPr>
              <w:spacing w:after="0"/>
              <w:rPr>
                <w:sz w:val="16"/>
                <w:szCs w:val="16"/>
                <w:color w:val="auto"/>
              </w:rPr>
            </w:pPr>
          </w:p>
        </w:tc>
        <w:tc>
          <w:tcPr>
            <w:tcW w:w="45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Segment earnings margins:</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500" w:type="dxa"/>
            <w:vAlign w:val="bottom"/>
            <w:tcBorders>
              <w:top w:val="single" w:sz="8" w:color="CCEEFF"/>
            </w:tcBorders>
            <w:gridSpan w:val="2"/>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8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29"/>
        </w:trPr>
        <w:tc>
          <w:tcPr>
            <w:tcW w:w="20" w:type="dxa"/>
            <w:vAlign w:val="bottom"/>
          </w:tcPr>
          <w:p>
            <w:pPr>
              <w:spacing w:after="0"/>
              <w:rPr>
                <w:sz w:val="19"/>
                <w:szCs w:val="19"/>
                <w:color w:val="auto"/>
              </w:rPr>
            </w:pPr>
          </w:p>
        </w:tc>
        <w:tc>
          <w:tcPr>
            <w:tcW w:w="5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29"/>
        </w:trPr>
        <w:tc>
          <w:tcPr>
            <w:tcW w:w="20" w:type="dxa"/>
            <w:vAlign w:val="bottom"/>
          </w:tcPr>
          <w:p>
            <w:pPr>
              <w:spacing w:after="0"/>
              <w:rPr>
                <w:sz w:val="19"/>
                <w:szCs w:val="19"/>
                <w:color w:val="auto"/>
              </w:rPr>
            </w:pPr>
          </w:p>
        </w:tc>
        <w:tc>
          <w:tcPr>
            <w:tcW w:w="5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auto"/>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 depreciation and amortization:</w:t>
            </w:r>
            <w:r>
              <w:rPr>
                <w:rFonts w:ascii="Times New Roman" w:cs="Times New Roman" w:eastAsia="Times New Roman" w:hAnsi="Times New Roman"/>
                <w:sz w:val="23"/>
                <w:szCs w:val="23"/>
                <w:color w:val="auto"/>
                <w:vertAlign w:val="superscript"/>
              </w:rPr>
              <w:t>(7)</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5,736</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14,392</w:t>
            </w:r>
          </w:p>
        </w:tc>
      </w:tr>
      <w:tr>
        <w:trPr>
          <w:trHeight w:val="229"/>
        </w:trPr>
        <w:tc>
          <w:tcPr>
            <w:tcW w:w="20" w:type="dxa"/>
            <w:vAlign w:val="bottom"/>
          </w:tcPr>
          <w:p>
            <w:pPr>
              <w:spacing w:after="0"/>
              <w:rPr>
                <w:sz w:val="19"/>
                <w:szCs w:val="19"/>
                <w:color w:val="auto"/>
              </w:rPr>
            </w:pPr>
          </w:p>
        </w:tc>
        <w:tc>
          <w:tcPr>
            <w:tcW w:w="4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23,858</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4,091</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10,909</w:t>
            </w:r>
          </w:p>
        </w:tc>
      </w:tr>
      <w:tr>
        <w:trPr>
          <w:trHeight w:val="230"/>
        </w:trPr>
        <w:tc>
          <w:tcPr>
            <w:tcW w:w="20" w:type="dxa"/>
            <w:vAlign w:val="bottom"/>
          </w:tcPr>
          <w:p>
            <w:pPr>
              <w:spacing w:after="0"/>
              <w:rPr>
                <w:sz w:val="19"/>
                <w:szCs w:val="19"/>
                <w:color w:val="auto"/>
              </w:rPr>
            </w:pPr>
          </w:p>
        </w:tc>
        <w:tc>
          <w:tcPr>
            <w:tcW w:w="4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39,988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37,427</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7,558</w:t>
            </w:r>
          </w:p>
        </w:tc>
        <w:tc>
          <w:tcPr>
            <w:tcW w:w="1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22,488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21,543</w:t>
            </w: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depreciation and amortization</w:t>
            </w: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40,223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116,687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108,129</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1,794</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5,123</w:t>
            </w: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Depreciation and amortization included in purchase</w:t>
            </w: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accounting expenses and restructuring and other</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56,444</w:t>
            </w: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48,292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158,091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137,927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depreciation and amortization 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98,461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280,262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25" w:lineRule="auto"/>
        <w:tabs>
          <w:tab w:leader="none" w:pos="176"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depreciation and amortization relates to property, plant, and equipment and intangibles, and excludes amounts related to purchase accounting expenses and restructuring and other costs.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3"/>
        </w:trPr>
        <w:tc>
          <w:tcPr>
            <w:tcW w:w="20" w:type="dxa"/>
            <w:vAlign w:val="bottom"/>
          </w:tcPr>
          <w:p>
            <w:pPr>
              <w:spacing w:after="0"/>
              <w:rPr>
                <w:sz w:val="15"/>
                <w:szCs w:val="15"/>
                <w:color w:val="auto"/>
              </w:rPr>
            </w:pPr>
          </w:p>
        </w:tc>
        <w:tc>
          <w:tcPr>
            <w:tcW w:w="51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r>
      <w:tr>
        <w:trPr>
          <w:trHeight w:val="229"/>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r>
      <w:tr>
        <w:trPr>
          <w:trHeight w:val="230"/>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37,022</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29"/>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Selected financial information by segment (continued):</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1,063,292</w:t>
            </w:r>
          </w:p>
        </w:tc>
      </w:tr>
      <w:tr>
        <w:trPr>
          <w:trHeight w:val="230"/>
        </w:trPr>
        <w:tc>
          <w:tcPr>
            <w:tcW w:w="20" w:type="dxa"/>
            <w:vAlign w:val="bottom"/>
          </w:tcPr>
          <w:p>
            <w:pPr>
              <w:spacing w:after="0"/>
              <w:rPr>
                <w:sz w:val="19"/>
                <w:szCs w:val="19"/>
                <w:color w:val="auto"/>
              </w:rPr>
            </w:pPr>
          </w:p>
        </w:tc>
        <w:tc>
          <w:tcPr>
            <w:tcW w:w="7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3,601,573</w:t>
            </w:r>
          </w:p>
        </w:tc>
      </w:tr>
      <w:tr>
        <w:trPr>
          <w:trHeight w:val="22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1,749,028</w:t>
            </w:r>
          </w:p>
        </w:tc>
      </w:tr>
      <w:tr>
        <w:trPr>
          <w:trHeight w:val="229"/>
        </w:trPr>
        <w:tc>
          <w:tcPr>
            <w:tcW w:w="20" w:type="dxa"/>
            <w:vAlign w:val="bottom"/>
          </w:tcPr>
          <w:p>
            <w:pPr>
              <w:spacing w:after="0"/>
              <w:rPr>
                <w:sz w:val="19"/>
                <w:szCs w:val="19"/>
                <w:color w:val="auto"/>
              </w:rPr>
            </w:pPr>
          </w:p>
        </w:tc>
        <w:tc>
          <w:tcPr>
            <w:tcW w:w="7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3,495,576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2,613,405</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1,293,132</w:t>
            </w:r>
          </w:p>
        </w:tc>
      </w:tr>
      <w:tr>
        <w:trPr>
          <w:trHeight w:val="229"/>
        </w:trPr>
        <w:tc>
          <w:tcPr>
            <w:tcW w:w="20" w:type="dxa"/>
            <w:vAlign w:val="bottom"/>
            <w:tcBorders>
              <w:bottom w:val="single" w:sz="8" w:color="CCEEFF"/>
            </w:tcBorders>
          </w:tcPr>
          <w:p>
            <w:pPr>
              <w:spacing w:after="0"/>
              <w:rPr>
                <w:sz w:val="19"/>
                <w:szCs w:val="19"/>
                <w:color w:val="auto"/>
              </w:rPr>
            </w:pPr>
          </w:p>
        </w:tc>
        <w:tc>
          <w:tcPr>
            <w:tcW w:w="7540" w:type="dxa"/>
            <w:vAlign w:val="bottom"/>
            <w:tcBorders>
              <w:bottom w:val="single" w:sz="8" w:color="CCEEFF"/>
            </w:tcBorders>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(8)</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Corporate assets are comprised primarily of cash and cash equivalents.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3"/>
        </w:trPr>
        <w:tc>
          <w:tcPr>
            <w:tcW w:w="20" w:type="dxa"/>
            <w:vAlign w:val="bottom"/>
          </w:tcPr>
          <w:p>
            <w:pPr>
              <w:spacing w:after="0"/>
              <w:rPr>
                <w:sz w:val="15"/>
                <w:szCs w:val="15"/>
                <w:color w:val="auto"/>
              </w:rPr>
            </w:pPr>
          </w:p>
        </w:tc>
        <w:tc>
          <w:tcPr>
            <w:tcW w:w="4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 by geography</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3,185,188</w:t>
            </w: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1,250,813</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609,848</w:t>
            </w: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551,839</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218,355</w:t>
            </w: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5,993,492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5,816,043</w:t>
            </w: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U.S. was the largest geographical market for revenue for the Engineered Products, Clean Energy &amp; Fueling, Pumps &amp; Process Solutions, and Climate &amp; Sustainability Technologies segments, and Europe was the largest market for the Imaging &amp; Identification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$500,000 accelerated share repurchase agreement (the "ASR Agreement") with Citibank, N.A. ("Citibank") to repurchase its shares in an accelerated share repurchase program (the "ASR Program"). Shares repurchased under the ASR Program are classified as equity, initially recorded at fair value with no subsequent remeasurement. The Company conducted the ASR Program under the current share repurchase authorization. The Company funded the ASR Program with net proceeds from commercial paper.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ASR Agreement, the Company paid Citibank $500,000 on March 1, 2024 and on that date received initial delivery of 2,569,839 shares, representing a substantial majority of the shares expected to be retired over the course of the ASR Agreement. In July 2024, Citibank delivered 299,443 additional shares which completed the ASR Program totaling 2,869,282 repurchased shares. The total number of shares ultimately repurchased under the ASR Agreement was based on the volume-weighted average share price of Dover's common stock during the calculation period of the ASR Program, less a discount, which was $174.26 over the term of the ASR Program.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2025, there were no share repurchases. In the nine months ended September 30, 2025, the Company repurchased 200,000 shares at a total cost of $40,700, or $203.50 per share. Exclusive of the ASR Program, there were no share repurchases during the three and nine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16,930,718 shares remain authorized for repurchase under the August 2023 share repurchase authorization.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1,161,585</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1,261,143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137,913,000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138,029,000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138,099,000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138,830,000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137,251,000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137,913,000</w:t>
            </w:r>
          </w:p>
        </w:tc>
      </w:tr>
      <w:tr>
        <w:trPr>
          <w:trHeight w:val="414"/>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793,000</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917,000</w:t>
            </w:r>
          </w:p>
        </w:tc>
      </w:tr>
      <w:tr>
        <w:trPr>
          <w:trHeight w:val="223"/>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138,029,000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138,223,000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138,099,000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138,830,000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-607695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-187960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680"/>
            <w:col w:w="6280"/>
          </w:cols>
          <w:pgMar w:left="320" w:top="126" w:right="339" w:bottom="1440" w:gutter="0" w:footer="0" w:header="0"/>
          <w:type w:val="continuous"/>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anti-dilutive potential common shares excluded from the calculation above were approximately 17,000 and 44,000 for the three months ended September 30, 2025 and 2024, respectively, and 40,000 and 63,000 for the nine months ended September 30,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Early adoption is permitted. The Company is currently evaluating this ASU to determine its impact on the Company's disclosures.</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provides entities the option of a practical expedient in the estimation of credit losses. The amendments are effective for fiscal years beginning after December 15, 2025, and interim periods within those annual reporting periods. Early adoption is permitted. The Company is currently evaluating this ASU to determine its impact on the Company’s condensed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changes the requirements for when entities may begin capitalizing costs for internal-use software. The amendments are effective for fiscal years beginning after December 15, 2027, and interim reporting periods within those annual reporting periods. Early adoption is permitted as of the beginning of an annual reporting period. The Company is currently evaluating this ASU to determine its impact on the Company’s condensed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("SCF")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was adopted when it became effective January 1, 2024. The adoption did not have a material impact on the Company's condensed consolidated financial statements.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payments related to the SCF program are recorded within accounts payable in our condensed consolidated balance sheets. Amounts due to the SCF financial institutions as of September 30, 2025 and December 31, 2024 were approximately $126,145 and $156,973,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amendments are effective for fiscal years beginning after December 15, 2023, and for interim periods within fiscal years beginning after December 15, 2024. Early adoption is permitted. The Company adopted the guidance during fiscal year 2024 and for interim periods beginning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2025, revenue was $2.1 billion, which increased $94.3 million, or 4.8%, as compared to the third quarter of 2024. This increase was driven by acquisition-related revenue growth of 3.0%, a favorable impact from foreign currency translation of 1.3% and organic revenue growth of 0.5%. The acquisition-related growth was driven by our acquisitions in the Pumps &amp; Process Solutions and Clean Energy &amp; Fueling segments.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0.5% organic revenue growth for the third quarter of 2025 was driven by our Pumps &amp; Process Solutions, Clean Energy &amp; Fueling, and Imaging &amp; Identification segments which grew 5.6%, 4.8%, and 3.0%, respectively. The growth was partially offset by the Engineered Products and Climate &amp; Sustainability Technologies segments which declined 7.0% and 6.5%, respectively. For further information, see "Segment Results of Operations" within this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1.6% in the third quarter of 2025 compared to the prior year comparable quarter, driven by increased organic revenue in the Pumps &amp; Process Solutions and Clean Energy &amp; Fueling segments. Organic revenue increased for Europe by 1.1%, and decreased for Other Americas and Asia by 6.5%, and 1.5%,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were $2.0 billion for the three months ended September 30, 2025, an increase of $146.8 million or 7.9% compared to the prior year comparable quarter. The bookings growth was primarily driven by strong bookings in the Climate &amp; Sustainability Technologies and Pumps &amp; Process Solutions segments.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and other costs for the three months ended September 30, 2025 were $15.9 million, which included restructuring charges of $10.6 million and other costs of $5.3 million. Restructuring and other costs were primarily related to exit costs and headcount reductions in the Climate &amp; Sustainability Technologies, Clean Energy &amp; Fueling, and Pumps &amp; Process Solutions segments. For further discussion related to our restructuring and other costs, see "Restructuring and Other Costs (Benefits)," within this Item 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completed one business acquisition for approximately $11.4 million, subject to post-closing adjustments and inclusive of contingent consideration. See Note 3 — Acquisitions in the condensed consolidated financial statements in Item 1 of this Form 10-Q for further details.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CONSOLIDATED RESULTS OF OPERATIONS</w:t>
            </w:r>
          </w:p>
        </w:tc>
        <w:tc>
          <w:tcPr>
            <w:tcW w:w="6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4"/>
                <w:szCs w:val="24"/>
                <w:color w:val="auto"/>
              </w:rPr>
            </w:pPr>
          </w:p>
        </w:tc>
        <w:tc>
          <w:tcPr>
            <w:tcW w:w="38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figures)</w:t>
            </w:r>
          </w:p>
        </w:tc>
        <w:tc>
          <w:tcPr>
            <w:tcW w:w="2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2,077,841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1,983,542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5,993,492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5,816,043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1,244,247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1,220,355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3,596,136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3,603,146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833,594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763,187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2,212,897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38.5 %</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38.0 %</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456,441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429,570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1,369,297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1,301,606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175"/>
        </w:trPr>
        <w:tc>
          <w:tcPr>
            <w:tcW w:w="3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26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21.7 %</w:t>
            </w:r>
          </w:p>
        </w:tc>
        <w:tc>
          <w:tcPr>
            <w:tcW w:w="12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12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0.4</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 as a percent of revenue</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CCEEFF"/>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333,617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911,291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102,867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(68,633)</w:t>
            </w:r>
          </w:p>
        </w:tc>
        <w:tc>
          <w:tcPr>
            <w:tcW w:w="12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(597,913)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(26,663)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(33,016)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1"/>
                <w:szCs w:val="21"/>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386,243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386,330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1,033,721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1,453,366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291,781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21.5 %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124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2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312,896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1,161,585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from discontinued</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operations, net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34,204</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99,558</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301,996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347,100</w:t>
            </w:r>
          </w:p>
        </w:tc>
        <w:tc>
          <w:tcPr>
            <w:tcW w:w="1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811,881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1,261,143</w:t>
            </w:r>
          </w:p>
        </w:tc>
        <w:tc>
          <w:tcPr>
            <w:tcW w:w="1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Earnings per common share from</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September 30, 2025 increased $94.3 million, or 4.8%, from the prior year comparable quarter. The increase in revenue was driven by acquisition-related growth of 3.0%, primarily in our Pumps &amp; Process Solutions and Clean Energy &amp; Fueling segments, a favorable impact from foreign currency translation of 1.3% and organic revenue growth of 0.5%. Customer pricing favorably impacted revenue by approximately 2.1% in the third quarter of 2025 and by 1.6% in the prior year comparable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nine months ended September 30, 2025 increased $177.4 million, or 3.1%, from the prior year comparable period. The increase in revenue was driven by acquisition-related growth of 2.8%, primarily in our Pumps &amp; Process Solutions and Clean Energy &amp; Fueling segments, organic revenue growth of 0.6% and a favorable impact from foreign currency translation of 0.6%. This increase was partially offset by a disposition-related decline of 0.9%. Customer pricing favorably impacted revenue by approximately 1.8% for the nine months ended September 30, 2025 and by 1.6% in the prior comparable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September 30, 2025 increased $70.4 million, or 9.2%, and gross profit margin increased 160 basis points to 40.1%, versus the prior year comparable quarter. The gross profit margin increase was driven by productivity initiatives, favorable portfolio mix, positive price versus cost dynamics, and benefits from restructuring 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nine months ended September 30, 2025 increased $184.5 million, or 8.3%, and gross profit margin increased by 200 basis points to 40.0%, from the prior year comparable period. Gross profit margin increased driven by productivity initiatives, favorable portfolio mix, positive price versus cost dynamics, and benefits from restructuring 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2025 increased $26.9 million, or 6.3%, from the prior year comparable quarter, primarily due to increases in employee compensation and benefits and acquisition-related amortization expense, partially offset by cost containment and productivity actions. As a percentage of revenue, selling, general and administrative expenses increased 30 basis points as compared to the prior year comparable quarter to 22.0%.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2025 increased $67.7 million, or 5.2%, from the prior year comparable period, primarily due to increased employee compensation and benefits and acquisition-related amortization costs, partially offset by cost containment and productivity actions. Selling, general and administrative expenses as a percentage of revenue increased 40 basis points as compared to the prior year comparable period to 22.8%.</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$43.5 million and $35.6 million for the three months ended September 30, 2025 and 2024, and $121.8 million and $108.0 million for the nine months ended September 30, 2025 and 2024. The costs as a percentage of revenue are 2.1% and 2.0% for the three and nine months ended September 30, 2025 and 1.8% and 1.9% for the three and nine months ended September 30,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interest expense, net of interest income, decreased $19.5 million, or 67.4%, to $9.4 million and $63.2 million or 71.1%, to $25.6 million, respectively compared to the prior year comparable period. The decreases were primarily driven by higher interest income generated by the investment of proceeds from the sale of ESG held in highly liquid short-term investments and reduced interest expense resulting from a lack of commercial paper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 on dispositions amounted to $68.6 million for the three months ended September 30, 2024 and $4.6 million and $597.9 million for the nine months ended September 30, 2025 and 2024, respectively. The gain on dispositions during the three months ended September 30, 2024 was primarily due to the sale of a minority owned equity investment on September 30, 2024. The gain on dispositions during the nine months ended September 30, 2024 was primarily due to the sale of the De-Sta-Co business on March 31, 2024 and the sale of a minority owned equity investment on September 30, 2024. See Note 4 — Discontinued and Disposed Operations in the condensed consolidated financial statements in Item 1 of this Form 10-Q for additional details.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2025 and 2024 were 21.5% and 19.0%, respectively. The increase in the effective tax rate for the three months ended September 30, 2025 relative to the prior year comparable quarter was primarily due to an internal reorganization in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2025 and 2024 were 20.4% and 20.1%, respectively. The increase in the effective tax rate for the nine months ended September 30, 2025 relative to the prior year comparable quarter was primarily due to internal reorganizations in 2024.</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was enacted into law, introducing changes to the U.S. tax code, including making permanent certain provisions originally enacted under the Tax Cuts and Jobs Act, such as 100% bonus depreciation and the immediate expensing of domestic research and development costs. The changes did not have a material impact to our condensed consolidated financial statements.</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Income Taxes in the condensed consolidated financial statements in Item 1 of this Form 10-Q for additional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for the three months ended September 30, 2025 decreased 3.1% to $303.3 million, or $2.20 diluted earnings per share from continuing operations, from $312.9 million, or $2.26 diluted earnings per share from continuing operations, in the prior year comparable quarter. The decrease in earnings from continuing operations is primarily due to the after-tax gain on the sale of a minority owned equity investment realized in the prior year comparable quarter, partially offset by earnings growth in our Pumps &amp; Process Solutions, Clean Energy &amp; Fueling, Imaging &amp; Identification, and Engineered Products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from continuing operations for the nine months ended September 30, 2025 decreased 29.2% to $822.7 million, or $5.96 diluted earnings per share from continuing operations, from $1.2 billion, or $8.37 diluted earnings per share from continuing operations, in the prior year comparable period. The decrease in earnings from continuing operations is primarily due to the after-tax gain on disposition of De-Sta-Co and a minority owned equity method investment totaling $464.2 million in the prior year, partially offset by higher operating earnings in the current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from discontinued operations, net for the three and nine months ended September 30, 2025 amounted to $1.3 million and $10.8 million, respectively. Earnings from discontinued operations, net for the three and nine months ended September 30, 2024 amounted to $34.2 million and $99.6 million, respectively. The Company completed the sale of ESG on October 8, 2024. See Note 4 — Discontinued and Disposed Operations in the condensed consolidated financial statements in Item 1 of this Form 10-Q for additional details.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organic revenue growth, which excludes the impact of foreign currency exchange rates and the impact of acquisitions and divestitures. See "Non-GAAP Disclosures" at the end of this Item 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89"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279,705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57,483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273,278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814,387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8"/>
        </w:trPr>
        <w:tc>
          <w:tcPr>
            <w:tcW w:w="3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to the Third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third quarter of 2025 decreased $16.4 million, or 5.5%, as compared to the third quarter of 2024, due to organic decline of 7.0%, partially offset by a favorable impact from foreign currency translation of 1.1% and acquisition-related growth of 0.4%. Acquisition-related growth was driven by the acquisition of Criteria Labs, Inc. in the third quarter of 2024. Customer pricing favorably impacted revenue by approximately 2.7% in the third quarter of 2025 and 1.1%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decline was primarily due to lower volumes in our vehicle service business, partially offset by pricing actions and favorable demand trends in our aerospace and defense business. We expect year-over-year organic performance to improve in the fourth quarter with solid demand trends in our aerospace and defense business, as well as sequential improvement in vehicle service business demand.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Engineered Products segment earnings increased $0.9 million, or 1.5%, compared to the third quarter of 2024. The increase was primarily driven by favorable price versus cost dynamics, productivity initiatives, and benefits from restructuring actions, partially offset by the negative impact from lower volumes in vehicle service. Segment earnings margin increased to 20.6% from 19.1% as compared to the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decreased 4.1% as compared to the prior year comparable quarter. The bookings decline was due to reduced demand in our vehicle service business, partially offset by strength in aerospace and defense. Segment book-to-bill was 0.98.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nine months ended September 30, 2025 decreased $103.9 million, or 11.4%, compared to the prior year comparable period. This was comprised of an organic revenue decline of 6.8% and a disposition-related decline of 5.6%, partially offset by acquisition-related growth of 0.6% and a favorable impact from foreign currency translation of 0.4%. The organic revenue decline was primarily due to lower volumes in our vehicle service business. Customer pricing favorably impacted revenue by approximately 2.3% and by 0.8%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earnings for the nine months ended September 30, 2025 decreased $16.1 million, or 9.4%, as compared to the 2024 comparable period. The decrease was primarily due to the divestiture of De-Sta-Co and lower volumes in vehicle service, partially offset by favorable price versus cost dynamics and the benefit of restructuring actions. Segment earnings margin increased to 19.1% from 18.7% as compared to the prior year comparable period.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16"/>
        </w:trPr>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1"/>
        </w:trPr>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to the Third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revenue for the third quarter of 2025 increased $40.7 million, or 8.1%, as compared to the third quarter of 2024, driven by organic growth of 4.8%, acquisition-related growth of 2.9% and a favorable foreign currency translation impact of 0.4%. Acquisition-related growth was primarily driven by the acquisition of Marshall Excelsior Company in the third quarter of 2024. Customer pricing favorably impacted revenue in the third quarter of 2025 by approximately 2.3% and by 2.0% in the prior year comparable quarter.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favorable demand trends in our above and below-ground retail fueling, fluid transport, and clean energy components businesses. We expect year-over-year organic performance to remain positive in the fourth quarter.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increased $19.1 million, or 19.2%, over the prior year comparable quarter. The increase was primarily driven by higher volumes, favorable price versus cost dynamics, the positive impact from acquisitions and benefits from restructuring actions. Segment earnings margin increased to 21.9% from 19.9% as compared to prior year comparable quarter.</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bookings increased 0.4% as compared to the prior year comparable quarter. The bookings growth was primarily driven by acquisition-related growth in clean energy platforms and demand in North America above-ground retail fueling equipment, partially offset by reduced vehicle wash orders. Segment book-to-bill was 0.94.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revenue increased $169.9 million, or 12.1%, as compared to the nine months ended September 30, 2024, attributable to acquisition-related growth of 7.0% and organic growth of 4.9%. Organic revenue growth was driven by pricing actions and strong demand in our above and below-ground retail fueling, fluid transport, and clean energy components businesses. Customer pricing favorably impacted revenue by approximately 1.8% and by approximately 2.6% in the prior year comparable period.</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increased $55.3 million or 21.6%, for the nine months ended September 30, 2025. The increase was primarily driven by volume growth, pricing, the favorable impact from acquisitions and benefits from restructuring actions, partially offset by inflationary costs. Segment earnings margin increased to 19.8% from 18.2%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to the Third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revenue for the third quarter of 2025 increased $15.1 million, or 5.3%, as compared to the third quarter of 2024, driven by organic revenue growth of 3.0% and a favorable impact from foreign currency translation of 2.3%. Customer pricing favorably impacted revenue in the third quarter of 2025 by approximately 3.6% and by approximately 2.6% in the prior year comparable quarter.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revenue growth was primarily driven by pricing and growth in core marking and coding equipment and serialization software. We expect organic revenue growth to remain positive in the fourth quarter, driven by pricing and solid demand trends across the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$4.5 million, or 5.9%, over the prior year comparable quarter. The increase was primarily driven by favorable price versus cost dynamics and productivity initiatives. Segment earnings margin increased to 27.3% from 27.2% in the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increased 3.9% as compared to the prior year comparable quarter. The bookings growth was primarily driven by our core marking and coding business. Segment book-to-bill was 0.98.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revenue increased $22.8 million, or 2.7%, as compared to the nine months ended September 30, 2024, attributable to organic growth of 2.2%, a favorable impact from foreign currency translation of 0.4% and acquisition-related growth of 0.1%. The organic revenue growth was primarily driven by pricing actions and increased demand for core marking and coding equipment, partially offset by reduced demand in digital textile printing. Customer pricing favorably impacted revenue by approximately 3.3% and 3.0%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$13.3 million, or 6.0%, for the nine months ended September 30, 2025 over the prior year comparable period. The increase was primarily driven by favorable price versus cost dynamics and productivity initiatives. Segment earnings margin increased to 27.1% from 26.3% in the prior year comparable period.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472,463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448,074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to the Third Quarter 2024</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revenue for the third quarter of 2025 increased $78.5 million, or 16.6%, as compared to the third quarter of 2024, driven by acquisition-related growth of 9.1%, organic growth of 5.6%, and a favorable impact from foreign currency translation of 1.9%. Acquisition-related growth was driven by the acquisitions of Cryogenic Machinery Corp. ("Cryo-Mach") in the first quarter of 2025 and Sikora AG ("Sikora") and ipp Pump Products GmbH ("ipp") in the second quarter of 2025. Customer pricing favorably impacted revenue in the third quarter of 2025 by approximately 2.2% and by approximately 1.7% in the prior year comparable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revenue growth was primarily driven by robust demand for single-use biopharma components, thermal connectors used in liquid cooling of data centers, and precision components for midstream natural gas compression and power generation, partially offset by anticipated revenue declines in our plastics and polymer processing solutions business as customers shift focus to optimizing the significant capacity investments made over the last several years. We expect continued organic growth in the fourth quarter supported by demand trends in several of our businesses and an improving outlook in polymer processing equipment.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$30.3 million, or 21.9%, over the prior year comparable quarter. The increase was driven by the favorable impact from higher volumes, productivity initiatives, favorable portfolio mix and the impact from acquisitions. Segment earnings margin increased to 30.6% from 29.3%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increased 14.0% as compared to the prior year comparable quarter. The bookings growth was primarily driven by positive demand trends in biopharmaceutical end markets, growth in high performance computing and data center application demand, and the favorable impact from acquisitions. Segment book-to-bill was 0.93.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revenue increased $149.6 million, or 10.6%, as compared to the nine months ended September 30, 2024, attributable to organic growth of 5.3%, acquisition-related growth of 4.1% for the acquisitions of Cryo-Mach, Sikora, and ipp, and a favorable impact from foreign currency translation of 1.2%.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growth was primarily driven by single-use biopharma components, thermal connectors used in liquid cooling of data centers, and precision components, and digital controls for midstream natural gas compression and power generation, partially offset by expected declines in our polymer processing equipment business. Customer pricing favorably impacted revenue by approximately 1.7% and by approximately 1.6%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$85.1 million, or 21.6%, for the nine months ended September 30, 2025 over the prior year comparable period. The increase was driven by the impact of higher volumes, favorable portfolio mix, the impact from acquisitions, and productivity initiatives. Segment earnings margin increased to 30.6% from 27.9% from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3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8"/>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to the Third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&amp; Sustainability Technologies revenue decreased $22.6 million, or 5.2%, as compared to the third quarter of 2024, due to an organic revenue decline of 6.5%, partially offset by a favorable impact from foreign currency translation of 1.3%. Customer pricing favorably impacted revenue in the third quarter of 2025 by approximately 0.5% and by approximately 1.0% in the prior year comparable quarter.</w:t>
      </w:r>
    </w:p>
    <w:p>
      <w:pPr>
        <w:spacing w:after="0" w:line="20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organic revenue decline was primarily due to project timing in retail refrigeration equipment and services, partially offset by demand growth in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beverage can-making equipment, and global heat exchanger applications. We expect organic growth in the fourth quarter as strong demand in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continues, demand for heat exchangers in data center cooling applications accelerates and headwinds in both European residential heat pumps and refrigerated door cases recover.</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Climate &amp; Sustainability Technologies segment earnings were flat compared to the third quarter of 2024. The flat segment earnings were primarily due to the unfavorable impact from lower volumes, offset by productivity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 in retail refrigeration. Segment earnings margin increased to 18.6% from 17.6% in the prior year comparable quarter.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Bookings in the third quarter of 2025 increased 24.8% from the prior year comparable quarter. The bookings increase was driven by sequential improvement in retail refrigeration demand, favorable heat exchanger demand trends and beverage can-making orders. Segment book-to-bill was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Climate &amp; Sustainability Technologies segment revenue decreased $59.6 million, or 4.8%, compared to the nine months ended September 30, 2024, reflecting an organic revenue decline of 5.4%, partially offset by a favorable foreign currency translation impact of 0.6%. The organic revenue decline for the nine months ended September 30, 2025 was due to project timing in retail refrigeration equipment and services, partially offset by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improving demand across beverage can-making and heat exchanger applications. Customer pricing favorably impacted revenue in the third quarter of 2025 by approximately 0.3% and 0.2% in the prior year comparable period.</w:t>
      </w: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Climate &amp; Sustainability Technologies segment earnings decreased $0.5 million, or 0.3%, for the nine months ended September 30, 2025, as compared to the prior year comparable period. Segment earnings margin increased to 17.5% from 16.7% in the prior year comparable period. The earnings decrease was primarily due to lower volumes in retail refrigeration equipment and services, partially offset by increased heat exchanger and beverage can-making volumes, productivity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Earnings from Continuing Operations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1"/>
                <w:szCs w:val="21"/>
                <w:color w:val="auto"/>
              </w:rPr>
            </w:pPr>
          </w:p>
        </w:tc>
        <w:tc>
          <w:tcPr>
            <w:tcW w:w="32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171,248</w:t>
            </w: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256,747</w:t>
            </w: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222,992</w:t>
            </w:r>
          </w:p>
        </w:tc>
      </w:tr>
      <w:tr>
        <w:trPr>
          <w:trHeight w:val="230"/>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394,231</w:t>
            </w: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1,251,119</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(597,913)</w:t>
            </w: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117,795</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102,867</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1,453,366</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291,781</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1,161,585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acquired intangible assets.</w:t>
      </w:r>
    </w:p>
    <w:p>
      <w:pPr>
        <w:ind w:left="180" w:hanging="172"/>
        <w:spacing w:after="0" w:line="191" w:lineRule="auto"/>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w:t>
      </w:r>
    </w:p>
    <w:p>
      <w:pPr>
        <w:spacing w:after="0" w:line="10" w:lineRule="exact"/>
        <w:rPr>
          <w:rFonts w:ascii="Times New Roman" w:cs="Times New Roman" w:eastAsia="Times New Roman" w:hAnsi="Times New Roman"/>
          <w:sz w:val="21"/>
          <w:szCs w:val="21"/>
          <w:color w:val="auto"/>
          <w:vertAlign w:val="superscript"/>
        </w:rPr>
      </w:pPr>
    </w:p>
    <w:p>
      <w:pPr>
        <w:ind w:firstLine="8"/>
        <w:spacing w:after="0" w:line="227" w:lineRule="auto"/>
        <w:tabs>
          <w:tab w:leader="none" w:pos="164"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Gain on dispositions, including post-closing adjustments; see Note 4 — Discontinued and Disposed Operations in the condensed consolidated financial statements in Item 1 of this Form 10-Q for further details.</w:t>
      </w:r>
    </w:p>
    <w:p>
      <w:pPr>
        <w:jc w:val="both"/>
        <w:ind w:firstLine="8"/>
        <w:spacing w:after="0" w:line="228" w:lineRule="auto"/>
        <w:tabs>
          <w:tab w:leader="none" w:pos="182"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three and nine months ended September 30, 2025, we incurred restructuring charges of $10.6 million and $32.4 million and other costs, net of $5.3 million and $16.1 million. Restructuring charges for the three and nine months ended September 30, 2025 were primarily related to exit costs and headcount reductions in the Climate &amp; Sustainability Technologies, Clean Energy &amp; Fueling, and Pumps &amp; Process Solutions segments. These restructuring programs were initiated in 2024 and 2025 and the Company will continue to make proactive adjustments to its cost structure to align with current demand trends. Other costs, net of $5.3 million for the three months ended September 30, 2025 include $1.8 million in costs associated with a footprint reduction in our Climate &amp; Sustainability Technologies segment. Other costs, net of $16.1 million for the nine months ended September 30, 2025 includes $4.0 million in costs associated with a product line exit and $3.3 million in costs associated with a footprint reduction, both in our Climate &amp; Sustainability Technologies segment. These restructuring and other charges were recorded in cost of goods and services and selling, general and administrative expenses in the condensed consolidated statements of earnings. Additional programs beyond the scope of the announced programs may be implemented during 2025 with related restructuring and other cost charges.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nine months ended September 30,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for the three and nine months ended September 30, 2024 include restructuring charges of $13.8 million and $41.6 million and other costs, net of $2.7 million and $10.5 million. Restructuring charges for the three months ended September 30, 2024 were primarily related to exit costs and headcount reductions in the Clean Energy &amp; Fueling segment. Restructuring charges for the nine months ended September 30, 2024 were primarily related to product line exit costs and headcount reductions in the Clean Energy &amp; Fueling and the Climate &amp; Sustainability Technologies segments. These restructuring programs were initiated in 2023 and 2024 and the Company will continue to make proactive adjustments to its cost structure to align with current demand trends. Other costs, net of $10.5 million for the nine months ended September 30, 2024, were primarily due to non-cash asset impairment charges and reorganization costs in the Climate &amp; Sustainability Technologies and Imaging &amp; Identification segments, respectively. These restructuring and other charges were recorded in cost of goods and services and selling, general and administrative expenses in the condensed consolidated statement of earnings.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nine months ended September 30,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40" w:type="dxa"/>
            <w:vAlign w:val="bottom"/>
          </w:tcPr>
          <w:p>
            <w:pPr>
              <w:spacing w:after="0"/>
              <w:rPr>
                <w:sz w:val="13"/>
                <w:szCs w:val="13"/>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40" w:type="dxa"/>
            <w:vAlign w:val="bottom"/>
          </w:tcPr>
          <w:p>
            <w:pPr>
              <w:spacing w:after="0"/>
              <w:rPr>
                <w:sz w:val="13"/>
                <w:szCs w:val="13"/>
                <w:color w:val="auto"/>
              </w:rPr>
            </w:pPr>
          </w:p>
        </w:tc>
        <w:tc>
          <w:tcPr>
            <w:tcW w:w="11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15,434</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41,629</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67,231</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r>
      <w:tr>
        <w:trPr>
          <w:trHeight w:val="230"/>
        </w:trPr>
        <w:tc>
          <w:tcPr>
            <w:tcW w:w="41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Pumps &amp; Process Solutions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29"/>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15,144</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both"/>
        <w:ind w:firstLine="8"/>
        <w:spacing w:after="0" w:line="246" w:lineRule="auto"/>
        <w:tabs>
          <w:tab w:leader="none" w:pos="96"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increase of </w:t>
      </w:r>
      <w:r>
        <w:rPr>
          <w:rFonts w:ascii="Times New Roman" w:cs="Times New Roman" w:eastAsia="Times New Roman" w:hAnsi="Times New Roman"/>
          <w:sz w:val="17"/>
          <w:szCs w:val="17"/>
          <w:color w:val="auto"/>
        </w:rPr>
        <w:t>$11.2 million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$15.6 million</w:t>
      </w:r>
      <w:r>
        <w:rPr>
          <w:rFonts w:ascii="Times New Roman" w:cs="Times New Roman" w:eastAsia="Times New Roman" w:hAnsi="Times New Roman"/>
          <w:sz w:val="16"/>
          <w:szCs w:val="16"/>
          <w:color w:val="auto"/>
        </w:rPr>
        <w:t xml:space="preserve"> in purchase accounting expenses for the three and nine months ended September 30, 2025, respectively, from the prior year comparable period in our Pumps &amp; Process Solutions segment is primarily due to the acquisition of Sikora in Q2 2025, inclusive of </w:t>
      </w:r>
      <w:r>
        <w:rPr>
          <w:rFonts w:ascii="Times New Roman" w:cs="Times New Roman" w:eastAsia="Times New Roman" w:hAnsi="Times New Roman"/>
          <w:sz w:val="17"/>
          <w:szCs w:val="17"/>
          <w:color w:val="auto"/>
        </w:rPr>
        <w:t>$5.8 million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$7.7 million</w:t>
      </w:r>
      <w:r>
        <w:rPr>
          <w:rFonts w:ascii="Times New Roman" w:cs="Times New Roman" w:eastAsia="Times New Roman" w:hAnsi="Times New Roman"/>
          <w:sz w:val="16"/>
          <w:szCs w:val="16"/>
          <w:color w:val="auto"/>
        </w:rPr>
        <w:t>, respectively, in charges related to amortization of acquired intangible assets.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794,059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648,881</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(814,627)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0"/>
                <w:szCs w:val="20"/>
                <w:color w:val="auto"/>
              </w:rPr>
            </w:pPr>
          </w:p>
        </w:tc>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(280,347)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(818,445)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nine months ended September 30, 2025 increased by $145.2 million compared to September 30, 2024, primarily driven by higher operating earnings during the period.</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receivables, plus inventory, less accounts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meaningful measure of liquidity by showing changes caused by operational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calculation of adjusted working capital:</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1,651,057</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working capital has increased by $261.1 million, or 15.8%, year-to-date, driven by an increase of $97.7 million in net receivables and an increase of $176.9 million in net inventory, partially offset by an increase in accounts payable of $13.6 million. These amounts include the effects of acquisitions, dispositions and foreign currency translation. The increase in adjusted working capital versus year-end 2024 is primarily a result of timing of cash flows, with the fourth quarter traditionally representing our highest cash flow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is derived from cash inflows from proceeds from dispositions, offset by cash outflows for acquisitions and capital expenditures. The majority of the activity in investing activities was comprised of the following:</w:t>
      </w:r>
    </w:p>
    <w:p>
      <w:pPr>
        <w:spacing w:after="0" w:line="187" w:lineRule="exact"/>
        <w:rPr>
          <w:sz w:val="20"/>
          <w:szCs w:val="20"/>
          <w:color w:val="auto"/>
        </w:rPr>
      </w:pPr>
    </w:p>
    <w:p>
      <w:pPr>
        <w:jc w:val="both"/>
        <w:ind w:left="660" w:hanging="328"/>
        <w:spacing w:after="0" w:line="261" w:lineRule="auto"/>
        <w:tabs>
          <w:tab w:leader="none" w:pos="649"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Proceeds from dispositions: </w:t>
      </w:r>
      <w:r>
        <w:rPr>
          <w:rFonts w:ascii="Times New Roman" w:cs="Times New Roman" w:eastAsia="Times New Roman" w:hAnsi="Times New Roman"/>
          <w:sz w:val="18"/>
          <w:szCs w:val="18"/>
          <w:color w:val="auto"/>
        </w:rPr>
        <w:t>During the nine months ended September 30, 2025, we received an additional $6.0 million of net proceeds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of a minority owned equity method investment in the third quarter of 2024 within the Climate &amp; Sustainability Technologies segment. During the nine months ended September 30, 2024, we received net proceeds of $767.7 million from the disposition of De-Sta-Co. See Note 4 — Discontinued and Disposed Operations in the condensed consolidated financial statements in Item 1 of this Form 10-Q for further details.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2025, we deployed approximately $663.2 million, net to acquire three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Pumps &amp; Process Solutions segment and one business within the Clean Energy &amp; Fueling segment. In comparison, during the nine months ended September 30, 2024, we deployed approximately $602.7 million, net to acquire seven businesses within the Clean Energy &amp; Fueling and Imaging &amp; Identification segments. See Note 3 — Acquisitions in the condensed consolidated financial statements in Item 1 of this Form 10-Q for further details.</w:t>
      </w:r>
    </w:p>
    <w:p>
      <w:pPr>
        <w:spacing w:after="0" w:line="21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increased $49.6 million during the nine months ended September 30, 2025,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in line with our planned capital expenditures for the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through the remainder of 2025 will be funded from available cash and internally generated funds and, if necessary, through the issuance of commercial paper, or by accessing the public debt or equity markets. We estimate capital expenditures in 2025 to range from $190.0 million to $210.0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purchases of our common stock and payment of dividends, offset by net borrowing activity. The majority of financing activity was attributed to the following:</w:t>
      </w:r>
    </w:p>
    <w:p>
      <w:pPr>
        <w:spacing w:after="0" w:line="187" w:lineRule="exact"/>
        <w:rPr>
          <w:sz w:val="20"/>
          <w:szCs w:val="20"/>
          <w:color w:val="auto"/>
        </w:rPr>
      </w:pPr>
    </w:p>
    <w:p>
      <w:pPr>
        <w:jc w:val="both"/>
        <w:ind w:left="660" w:hanging="328"/>
        <w:spacing w:after="0" w:line="239" w:lineRule="auto"/>
        <w:tabs>
          <w:tab w:leader="none" w:pos="647" w:val="left"/>
        </w:tabs>
        <w:numPr>
          <w:ilvl w:val="0"/>
          <w:numId w:val="20"/>
        </w:numPr>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i w:val="1"/>
          <w:iCs w:val="1"/>
          <w:color w:val="auto"/>
        </w:rPr>
        <w:t xml:space="preserve">Repurchase of common stock, including accelerated share repurchase program: </w:t>
      </w:r>
      <w:r>
        <w:rPr>
          <w:rFonts w:ascii="Times New Roman" w:cs="Times New Roman" w:eastAsia="Times New Roman" w:hAnsi="Times New Roman"/>
          <w:sz w:val="18"/>
          <w:szCs w:val="18"/>
          <w:color w:val="auto"/>
        </w:rPr>
        <w:t>During the nine months ended September 30, 2025,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repurchased a total of 200,000 shares for $40.7 million. During the nine months ended September 30, 2024, the Company used $500.0 million to repurchase 2,569,839 shares on March 1, 2024 under an accelerated share repurchase transaction. See Note 17 — Stockholders' Equity in the condensed consolidated financial statements in Item 1 of this Form 10-Q for further details.</w:t>
      </w:r>
    </w:p>
    <w:p>
      <w:pPr>
        <w:spacing w:after="0" w:line="225" w:lineRule="exact"/>
        <w:rPr>
          <w:rFonts w:ascii="Times New Roman" w:cs="Times New Roman" w:eastAsia="Times New Roman" w:hAnsi="Times New Roman"/>
          <w:sz w:val="23"/>
          <w:szCs w:val="23"/>
          <w:b w:val="1"/>
          <w:bCs w:val="1"/>
          <w:i w:val="1"/>
          <w:iCs w:val="1"/>
          <w:color w:val="auto"/>
          <w:vertAlign w:val="superscript"/>
        </w:rPr>
      </w:pPr>
    </w:p>
    <w:p>
      <w:pPr>
        <w:jc w:val="both"/>
        <w:ind w:left="660" w:hanging="328"/>
        <w:spacing w:after="0" w:line="267"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Commercial paper and other short-term borrowings, net: </w:t>
      </w:r>
      <w:r>
        <w:rPr>
          <w:rFonts w:ascii="Times New Roman" w:cs="Times New Roman" w:eastAsia="Times New Roman" w:hAnsi="Times New Roman"/>
          <w:sz w:val="18"/>
          <w:szCs w:val="18"/>
          <w:color w:val="auto"/>
        </w:rPr>
        <w:t>The Company had no commercial paper borrowings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During the nine months ended September 30, 2024, we used $89.0 million to pay off commercial paper borrowings, with net proceeds received from the sale of De-Sta-Co.</w:t>
      </w:r>
    </w:p>
    <w:p>
      <w:pPr>
        <w:spacing w:after="0" w:line="200"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$213.2 million during the nine months ended September 30,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$212.4 million during the same period in 2024. Our dividends paid per common share increased 1.0% to $1.55 during the nine months ended September 30, 2025 compared to $1.54 during the same period in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provided by discontinued operations for the nine months ended September 30, 2025 and September 30, 2024 amounted to $(11.3) million and $93.9 million, respectively. Cash flows from discontinued operations generated for the nine months ended September 30, 2024, primarily relate to cash provided by operations of approximately $108.3 million, partially offset by cash used in investing activities of $(14.4) million, which comprised capital expenditures partially offset by proceeds from a sale of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794,059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648,881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(163,274)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(113,626)</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630,785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535,255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earnings from continuing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earnings from continuing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generated free cash flow of $630.8 million, representing 10.5% of revenue and 76.7% of earnings from continuing operations. Free cash flow for the nine months ended September 30, 2025 increased $95.5 million, compared to September 30, 2024, primarily driven by higher operating earnings, partially offset by higher capital expenditures. The increases in cash flow from operating activities and free cash flow as percentages of earnings from continuing operations are due primarily to the gain on disposition of De-Sta-Co impacting the prior year. See Note 4 — Discontinued and Disposed Operations in the condensed consolidated financial statements in Item 1 of this Form 10-Q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September 30, 2025, we maintained $1.0 billion five-year and $500.0 million 364-day unsecured revolving credit facilities (together, the "Credit Agreements") with a syndicate of banks which expire April 6, 2028 and April 2, 2026, respectively. The Company may elect to extend the maturity date of any loans under the 364-day credit facility until April 2, 2027, subject to conditions specified therein. The Credit Agreements are designated as a liquidity back-stop for the Company's commercial paper program and also are available for general corporate purposes.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September 30, 2025 and had an interest coverage ratio of consolidated EBITDA to consolidated net interest expense of 109.8 to 1. We are not aware of any potential impairment to our liquidity and expect to remain in compliance with all of our debt covenants.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our cash and cash equivalents totaled $1.6 billion, of which approximately $567.9 million was held outside the United States. At December 31, 2024, our cash and cash equivalents totaled $1.8 billion, of which approximately $300.5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completed four business acquisitions for total consideration of $665.2 million, subject to post-closing adjustments and inclusive of contingent consideration. See Note 3 — Acquisitions in the condensed consolidated financial statements in Item 1 of this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240" w:type="dxa"/>
            <w:vAlign w:val="bottom"/>
          </w:tcPr>
          <w:p>
            <w:pPr>
              <w:spacing w:after="0"/>
              <w:rPr>
                <w:sz w:val="17"/>
                <w:szCs w:val="17"/>
                <w:color w:val="auto"/>
              </w:rPr>
            </w:pPr>
          </w:p>
        </w:tc>
        <w:tc>
          <w:tcPr>
            <w:tcW w:w="2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17"/>
                <w:szCs w:val="17"/>
                <w:color w:val="auto"/>
              </w:rPr>
            </w:pPr>
          </w:p>
        </w:tc>
        <w:tc>
          <w:tcPr>
            <w:tcW w:w="2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and other short-term borrowings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400,646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2,670,362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3,071,008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2,929,402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(1,552,804)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(1,844,877)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1,518,204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1,084,525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7,662,936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9,181,140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8,038,521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increased to 16.5% at September 30, 2025 compared to 13.5% at December 31, 2024. Net debt increased $433.7 million during the period primarily due to the increase in value of the euro-denominated debt resulting from foreign currency translation adjustments and a decrease in cash and cash equivalents from acquisition-related investments. Stockholders' equity increased for the period primarily driven by current earnings of $811.9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2024.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2024.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We believe that reporting adjusted working capital provides a meaningful measure of liquidity by showing changes caused by operational results. We believe that reporting organic revenue growth provides a useful comparison of our revenue performance and trends between periods.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2025. For a discussion of our exposure to market risk, refer to Item 7A, "Quantitative and Qualitative Disclosures about Market Risk," contained in our Annual Report on Form 10-K for the fiscal year ended December 31,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September 30, 2025.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2025, there were no changes in the Company's internal control over financial reporting that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 No share repurchases were made under the August 2023 authorization during the three months ended September 30, 2025. As of September 30, 2025, the number of shares still available for repurchase under the current share repurchase authorization was 16,930,718.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None.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 During the nine months ended September 30, 2025,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Christopher B. Woenker.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Christopher B. Woenker.</w:t>
      </w:r>
    </w:p>
    <w:p>
      <w:pPr>
        <w:spacing w:after="0" w:line="158" w:lineRule="exact"/>
        <w:rPr>
          <w:sz w:val="20"/>
          <w:szCs w:val="20"/>
          <w:color w:val="auto"/>
        </w:rPr>
      </w:pPr>
    </w:p>
    <w:p>
      <w:pPr>
        <w:jc w:val="both"/>
        <w:ind w:left="980" w:hanging="369"/>
        <w:spacing w:after="0" w:line="22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September 30, 2025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23,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23,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40"/>
          </w:cols>
          <w:pgMar w:left="320" w:top="12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Woenker, certify that:</w:t>
      </w:r>
    </w:p>
    <w:p>
      <w:pPr>
        <w:spacing w:after="0" w:line="171"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right="2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23,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23,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2025-10-23T06:00:07Z</dcterms:created>
  <dcterms:modified xsi:type="dcterms:W3CDTF">2025-10-23T06:00:07Z</dcterms:modified>
</cp:coreProperties>
</file>