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erif" w:hAnsi="Times New Roman;serif"/>
          <w:b/>
          <w:color w:val="000000"/>
          <w:sz w:val="20"/>
        </w:rPr>
        <w:t xml:space="preserve">For the quarterly period ended </w:t>
      </w:r>
      <w:r>
        <w:rPr>
          <w:rFonts w:ascii="Times New Roman;serif" w:hAnsi="Times New Roman;serif"/>
          <w:b/>
          <w:color w:val="000000"/>
          <w:sz w:val="20"/>
          <w:shd w:fill="FFFFFF" w:val="clear"/>
        </w:rPr>
        <w:t>June 30, 2026</w:t>
      </w:r>
      <w:r>
        <w:rPr>
          <w:color w:val="000000"/>
          <w:shd w:fill="FFFFFF" w:val="clear"/>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80" w:after="283"/>
        <w:jc w:val="left"/>
        <w:rPr/>
      </w:pPr>
      <w:r>
        <w:rPr>
          <w:color w:val="000000"/>
        </w:rPr>
        <w:t xml:space="preserve">☐ </w:t>
      </w:r>
      <w:r>
        <w:rPr>
          <w:rFonts w:ascii="Times New Roman;serif" w:hAnsi="Times New Roman;serif"/>
          <w:b/>
          <w:color w:val="000000"/>
          <w:sz w:val="20"/>
        </w:rPr>
        <w:t xml:space="preserve">TRANSITION REPORT PURSUANT TO SECTION 13 OR 15(d) OF THE SECURITIES EXCHANGE ACT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1-4018</w:t>
      </w:r>
    </w:p>
    <w:p>
      <w:pPr>
        <w:pStyle w:val="TextBody"/>
        <w:bidi w:val="0"/>
        <w:spacing w:before="0" w:after="0"/>
        <w:jc w:val="center"/>
        <w:rPr/>
      </w:pPr>
      <w:r>
        <w:rPr/>
        <w:drawing>
          <wp:inline distT="0" distB="0" distL="0" distR="0">
            <wp:extent cx="41910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0" cy="6477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91"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53-0257888</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3005 Highland Parkway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Downers Grove, Illinois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60515</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(630) 541-1540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393" w:type="dxa"/>
        <w:jc w:val="left"/>
        <w:tblInd w:w="0" w:type="dxa"/>
        <w:tblLayout w:type="fixed"/>
        <w:tblCellMar>
          <w:top w:w="28" w:type="dxa"/>
          <w:left w:w="28" w:type="dxa"/>
          <w:bottom w:w="28" w:type="dxa"/>
          <w:right w:w="28" w:type="dxa"/>
        </w:tblCellMar>
      </w:tblPr>
      <w:tblGrid>
        <w:gridCol w:w="749"/>
        <w:gridCol w:w="656"/>
        <w:gridCol w:w="664"/>
        <w:gridCol w:w="539"/>
        <w:gridCol w:w="539"/>
        <w:gridCol w:w="541"/>
        <w:gridCol w:w="1085"/>
        <w:gridCol w:w="1085"/>
        <w:gridCol w:w="1535"/>
      </w:tblGrid>
      <w:tr>
        <w:trPr/>
        <w:tc>
          <w:tcPr>
            <w:tcW w:w="7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 Notes due 2026</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 26</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Notes due 2027</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 27</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06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 Notes due 2033</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 33</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12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849"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808"/>
        <w:gridCol w:w="808"/>
        <w:gridCol w:w="813"/>
        <w:gridCol w:w="109"/>
        <w:gridCol w:w="109"/>
        <w:gridCol w:w="109"/>
        <w:gridCol w:w="794"/>
        <w:gridCol w:w="794"/>
        <w:gridCol w:w="797"/>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2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8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2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common stock as of July 17, 2026 was 134,680,225.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572"/>
        <w:gridCol w:w="501"/>
        <w:gridCol w:w="501"/>
        <w:gridCol w:w="2789"/>
        <w:gridCol w:w="2609"/>
        <w:gridCol w:w="2659"/>
        <w:gridCol w:w="167"/>
        <w:gridCol w:w="167"/>
        <w:gridCol w:w="240"/>
      </w:tblGrid>
      <w:tr>
        <w:trPr/>
        <w:tc>
          <w:tcPr>
            <w:tcW w:w="5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7">
              <w:r>
                <w:rPr>
                  <w:rStyle w:val="InternetLink"/>
                  <w:rFonts w:ascii="Times New Roman;serif" w:hAnsi="Times New Roman;serif"/>
                  <w:b/>
                  <w:color w:val="0000FF"/>
                  <w:sz w:val="20"/>
                  <w:u w:val="singl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3">
              <w:r>
                <w:rPr>
                  <w:rStyle w:val="InternetLink"/>
                  <w:rFonts w:ascii="Times New Roman;serif" w:hAnsi="Times New Roman;serif"/>
                  <w:b w:val="false"/>
                  <w:color w:val="0000FF"/>
                  <w:sz w:val="20"/>
                  <w:u w:val="single"/>
                </w:rPr>
                <w:t>Item 1.</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3">
              <w:r>
                <w:rPr>
                  <w:rStyle w:val="InternetLink"/>
                  <w:rFonts w:ascii="Times New Roman;serif" w:hAnsi="Times New Roman;serif"/>
                  <w:b w:val="false"/>
                  <w:color w:val="0000FF"/>
                  <w:sz w:val="20"/>
                  <w:u w:val="single"/>
                </w:rPr>
                <w:t>Financial Statements (unaudited)</w:t>
              </w:r>
            </w:hyperlink>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9">
              <w:r>
                <w:rPr>
                  <w:rStyle w:val="InternetLink"/>
                  <w:rFonts w:ascii="Times New Roman;serif" w:hAnsi="Times New Roman;serif"/>
                  <w:b w:val="false"/>
                  <w:color w:val="000080"/>
                  <w:sz w:val="20"/>
                  <w:u w:val="single"/>
                </w:rPr>
                <w:t xml:space="preserve">Condensed Consolidated Statements of Earnings for the three </w:t>
              </w:r>
            </w:hyperlink>
            <w:hyperlink w:anchor="i4b9d86d2437d4e45a317afdbcb7d6559_19">
              <w:r>
                <w:rPr>
                  <w:rStyle w:val="InternetLink"/>
                  <w:rFonts w:ascii="Times New Roman;serif" w:hAnsi="Times New Roman;serif"/>
                  <w:b w:val="false"/>
                  <w:color w:val="000080"/>
                  <w:sz w:val="20"/>
                  <w:u w:val="single"/>
                </w:rPr>
                <w:t xml:space="preserve">and six </w:t>
              </w:r>
            </w:hyperlink>
            <w:hyperlink w:anchor="i4b9d86d2437d4e45a317afdbcb7d6559_19">
              <w:r>
                <w:rPr>
                  <w:rStyle w:val="InternetLink"/>
                  <w:rFonts w:ascii="Times New Roman;serif" w:hAnsi="Times New Roman;serif"/>
                  <w:b w:val="false"/>
                  <w:color w:val="000080"/>
                  <w:sz w:val="20"/>
                  <w:u w:val="single"/>
                </w:rPr>
                <w:t xml:space="preserve">months ended </w:t>
              </w:r>
            </w:hyperlink>
            <w:hyperlink w:anchor="i4b9d86d2437d4e45a317afdbcb7d6559_19">
              <w:r>
                <w:rPr>
                  <w:rStyle w:val="InternetLink"/>
                  <w:rFonts w:ascii="Times New Roman;serif" w:hAnsi="Times New Roman;serif"/>
                  <w:b w:val="false"/>
                  <w:color w:val="000080"/>
                  <w:sz w:val="20"/>
                  <w:u w:val="single"/>
                </w:rPr>
                <w:t>June 30</w:t>
              </w:r>
            </w:hyperlink>
            <w:hyperlink w:anchor="i4b9d86d2437d4e45a317afdbcb7d6559_19">
              <w:r>
                <w:rPr>
                  <w:rStyle w:val="InternetLink"/>
                  <w:rFonts w:ascii="Times New Roman;serif" w:hAnsi="Times New Roman;serif"/>
                  <w:b w:val="false"/>
                  <w:color w:val="000080"/>
                  <w:sz w:val="20"/>
                  <w:u w:val="single"/>
                </w:rPr>
                <w:t>,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9">
              <w:r>
                <w:rPr>
                  <w:rStyle w:val="InternetLink"/>
                  <w:rFonts w:ascii="Times New Roman;serif" w:hAnsi="Times New Roman;serif"/>
                  <w:b w:val="false"/>
                  <w:color w:val="0000FF"/>
                  <w:sz w:val="20"/>
                  <w:u w:val="single"/>
                </w:rPr>
                <w:t>1</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2">
              <w:r>
                <w:rPr>
                  <w:rStyle w:val="InternetLink"/>
                  <w:rFonts w:ascii="Times New Roman;serif" w:hAnsi="Times New Roman;serif"/>
                  <w:b w:val="false"/>
                  <w:color w:val="000080"/>
                  <w:sz w:val="20"/>
                  <w:u w:val="single"/>
                </w:rPr>
                <w:t xml:space="preserve">Condensed Consolidated Statements of Comprehensive Earnings for the three </w:t>
              </w:r>
            </w:hyperlink>
            <w:hyperlink w:anchor="i4b9d86d2437d4e45a317afdbcb7d6559_22">
              <w:r>
                <w:rPr>
                  <w:rStyle w:val="InternetLink"/>
                  <w:rFonts w:ascii="Times New Roman;serif" w:hAnsi="Times New Roman;serif"/>
                  <w:b w:val="false"/>
                  <w:color w:val="000080"/>
                  <w:sz w:val="20"/>
                  <w:u w:val="single"/>
                </w:rPr>
                <w:t xml:space="preserve">and six </w:t>
              </w:r>
            </w:hyperlink>
            <w:hyperlink w:anchor="i4b9d86d2437d4e45a317afdbcb7d6559_22">
              <w:r>
                <w:rPr>
                  <w:rStyle w:val="InternetLink"/>
                  <w:rFonts w:ascii="Times New Roman;serif" w:hAnsi="Times New Roman;serif"/>
                  <w:b w:val="false"/>
                  <w:color w:val="000080"/>
                  <w:sz w:val="20"/>
                  <w:u w:val="single"/>
                </w:rPr>
                <w:t xml:space="preserve">months ended </w:t>
              </w:r>
            </w:hyperlink>
            <w:hyperlink w:anchor="i4b9d86d2437d4e45a317afdbcb7d6559_22">
              <w:r>
                <w:rPr>
                  <w:rStyle w:val="InternetLink"/>
                  <w:rFonts w:ascii="Times New Roman;serif" w:hAnsi="Times New Roman;serif"/>
                  <w:b w:val="false"/>
                  <w:color w:val="000080"/>
                  <w:sz w:val="20"/>
                  <w:u w:val="single"/>
                </w:rPr>
                <w:t>June</w:t>
              </w:r>
            </w:hyperlink>
            <w:hyperlink w:anchor="i4b9d86d2437d4e45a317afdbcb7d6559_22">
              <w:r>
                <w:rPr>
                  <w:rStyle w:val="InternetLink"/>
                  <w:rFonts w:ascii="Times New Roman;serif" w:hAnsi="Times New Roman;serif"/>
                  <w:b w:val="false"/>
                  <w:color w:val="000080"/>
                  <w:sz w:val="20"/>
                  <w:u w:val="single"/>
                </w:rPr>
                <w:t xml:space="preserve"> 3</w:t>
              </w:r>
            </w:hyperlink>
            <w:hyperlink w:anchor="i4b9d86d2437d4e45a317afdbcb7d6559_22">
              <w:r>
                <w:rPr>
                  <w:rStyle w:val="InternetLink"/>
                  <w:rFonts w:ascii="Times New Roman;serif" w:hAnsi="Times New Roman;serif"/>
                  <w:b w:val="false"/>
                  <w:color w:val="000080"/>
                  <w:sz w:val="20"/>
                  <w:u w:val="single"/>
                </w:rPr>
                <w:t>0</w:t>
              </w:r>
            </w:hyperlink>
            <w:hyperlink w:anchor="i4b9d86d2437d4e45a317afdbcb7d6559_22">
              <w:r>
                <w:rPr>
                  <w:rStyle w:val="InternetLink"/>
                  <w:rFonts w:ascii="Times New Roman;serif" w:hAnsi="Times New Roman;serif"/>
                  <w:b w:val="false"/>
                  <w:color w:val="000080"/>
                  <w:sz w:val="20"/>
                  <w:u w:val="single"/>
                </w:rPr>
                <w:t>,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2">
              <w:r>
                <w:rPr>
                  <w:rStyle w:val="InternetLink"/>
                  <w:rFonts w:ascii="Times New Roman;serif" w:hAnsi="Times New Roman;serif"/>
                  <w:b w:val="false"/>
                  <w:color w:val="0000FF"/>
                  <w:sz w:val="20"/>
                  <w:u w:val="single"/>
                </w:rPr>
                <w:t>2</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5">
              <w:r>
                <w:rPr>
                  <w:rStyle w:val="InternetLink"/>
                  <w:rFonts w:ascii="Times New Roman;serif" w:hAnsi="Times New Roman;serif"/>
                  <w:b w:val="false"/>
                  <w:color w:val="000080"/>
                  <w:sz w:val="20"/>
                  <w:u w:val="single"/>
                </w:rPr>
                <w:t xml:space="preserve">Condensed Consolidated Balance Sheets at </w:t>
              </w:r>
            </w:hyperlink>
            <w:hyperlink w:anchor="i4b9d86d2437d4e45a317afdbcb7d6559_25">
              <w:r>
                <w:rPr>
                  <w:rStyle w:val="InternetLink"/>
                  <w:rFonts w:ascii="Times New Roman;serif" w:hAnsi="Times New Roman;serif"/>
                  <w:b w:val="false"/>
                  <w:color w:val="000080"/>
                  <w:sz w:val="20"/>
                  <w:u w:val="single"/>
                </w:rPr>
                <w:t>June</w:t>
              </w:r>
            </w:hyperlink>
            <w:hyperlink w:anchor="i4b9d86d2437d4e45a317afdbcb7d6559_25">
              <w:r>
                <w:rPr>
                  <w:rStyle w:val="InternetLink"/>
                  <w:rFonts w:ascii="Times New Roman;serif" w:hAnsi="Times New Roman;serif"/>
                  <w:b w:val="false"/>
                  <w:color w:val="000080"/>
                  <w:sz w:val="20"/>
                  <w:u w:val="single"/>
                </w:rPr>
                <w:t xml:space="preserve"> </w:t>
              </w:r>
            </w:hyperlink>
            <w:hyperlink w:anchor="i4b9d86d2437d4e45a317afdbcb7d6559_25">
              <w:r>
                <w:rPr>
                  <w:rStyle w:val="InternetLink"/>
                  <w:rFonts w:ascii="Times New Roman;serif" w:hAnsi="Times New Roman;serif"/>
                  <w:b w:val="false"/>
                  <w:color w:val="000080"/>
                  <w:sz w:val="20"/>
                  <w:u w:val="single"/>
                </w:rPr>
                <w:t>30</w:t>
              </w:r>
            </w:hyperlink>
            <w:hyperlink w:anchor="i4b9d86d2437d4e45a317afdbcb7d6559_25">
              <w:r>
                <w:rPr>
                  <w:rStyle w:val="InternetLink"/>
                  <w:rFonts w:ascii="Times New Roman;serif" w:hAnsi="Times New Roman;serif"/>
                  <w:b w:val="false"/>
                  <w:color w:val="000080"/>
                  <w:sz w:val="20"/>
                  <w:u w:val="single"/>
                </w:rPr>
                <w:t>,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5">
              <w:r>
                <w:rPr>
                  <w:rStyle w:val="InternetLink"/>
                  <w:rFonts w:ascii="Times New Roman;serif" w:hAnsi="Times New Roman;serif"/>
                  <w:b w:val="false"/>
                  <w:color w:val="0000FF"/>
                  <w:sz w:val="20"/>
                  <w:u w:val="single"/>
                </w:rPr>
                <w:t>3</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8">
              <w:r>
                <w:rPr>
                  <w:rStyle w:val="InternetLink"/>
                  <w:rFonts w:ascii="Times New Roman;serif" w:hAnsi="Times New Roman;serif"/>
                  <w:b w:val="false"/>
                  <w:color w:val="000080"/>
                  <w:sz w:val="20"/>
                  <w:u w:val="single"/>
                </w:rPr>
                <w:t>Condensed Consolidated Statements of Stockholders’ Equity for the three</w:t>
              </w:r>
            </w:hyperlink>
            <w:hyperlink w:anchor="i4b9d86d2437d4e45a317afdbcb7d6559_28">
              <w:r>
                <w:rPr>
                  <w:rStyle w:val="InternetLink"/>
                  <w:rFonts w:ascii="Times New Roman;serif" w:hAnsi="Times New Roman;serif"/>
                  <w:b w:val="false"/>
                  <w:color w:val="000080"/>
                  <w:sz w:val="20"/>
                  <w:u w:val="single"/>
                </w:rPr>
                <w:t xml:space="preserve"> and six</w:t>
              </w:r>
            </w:hyperlink>
            <w:hyperlink w:anchor="i4b9d86d2437d4e45a317afdbcb7d6559_28">
              <w:r>
                <w:rPr>
                  <w:rStyle w:val="InternetLink"/>
                  <w:rFonts w:ascii="Times New Roman;serif" w:hAnsi="Times New Roman;serif"/>
                  <w:b w:val="false"/>
                  <w:color w:val="000080"/>
                  <w:sz w:val="20"/>
                  <w:u w:val="single"/>
                </w:rPr>
                <w:t xml:space="preserve"> months ended </w:t>
              </w:r>
            </w:hyperlink>
            <w:hyperlink w:anchor="i4b9d86d2437d4e45a317afdbcb7d6559_28">
              <w:r>
                <w:rPr>
                  <w:rStyle w:val="InternetLink"/>
                  <w:rFonts w:ascii="Times New Roman;serif" w:hAnsi="Times New Roman;serif"/>
                  <w:b w:val="false"/>
                  <w:color w:val="000080"/>
                  <w:sz w:val="20"/>
                  <w:u w:val="single"/>
                </w:rPr>
                <w:t>June 30</w:t>
              </w:r>
            </w:hyperlink>
            <w:hyperlink w:anchor="i4b9d86d2437d4e45a317afdbcb7d6559_28">
              <w:r>
                <w:rPr>
                  <w:rStyle w:val="InternetLink"/>
                  <w:rFonts w:ascii="Times New Roman;serif" w:hAnsi="Times New Roman;serif"/>
                  <w:b w:val="false"/>
                  <w:color w:val="000080"/>
                  <w:sz w:val="20"/>
                  <w:u w:val="single"/>
                </w:rPr>
                <w:t>,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8">
              <w:r>
                <w:rPr>
                  <w:rStyle w:val="InternetLink"/>
                  <w:rFonts w:ascii="Times New Roman;serif" w:hAnsi="Times New Roman;serif"/>
                  <w:b w:val="false"/>
                  <w:color w:val="0000FF"/>
                  <w:sz w:val="20"/>
                  <w:u w:val="single"/>
                </w:rPr>
                <w:t>4</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34">
              <w:r>
                <w:rPr>
                  <w:rStyle w:val="InternetLink"/>
                  <w:rFonts w:ascii="Times New Roman;serif" w:hAnsi="Times New Roman;serif"/>
                  <w:b w:val="false"/>
                  <w:color w:val="000080"/>
                  <w:sz w:val="20"/>
                  <w:u w:val="single"/>
                </w:rPr>
                <w:t xml:space="preserve">Condensed Consolidated Statements of Cash Flows for the </w:t>
              </w:r>
            </w:hyperlink>
            <w:hyperlink w:anchor="i4b9d86d2437d4e45a317afdbcb7d6559_34">
              <w:r>
                <w:rPr>
                  <w:rStyle w:val="InternetLink"/>
                  <w:rFonts w:ascii="Times New Roman;serif" w:hAnsi="Times New Roman;serif"/>
                  <w:b w:val="false"/>
                  <w:color w:val="000080"/>
                  <w:sz w:val="20"/>
                  <w:u w:val="single"/>
                </w:rPr>
                <w:t>six</w:t>
              </w:r>
            </w:hyperlink>
            <w:hyperlink w:anchor="i4b9d86d2437d4e45a317afdbcb7d6559_34">
              <w:r>
                <w:rPr>
                  <w:rStyle w:val="InternetLink"/>
                  <w:rFonts w:ascii="Times New Roman;serif" w:hAnsi="Times New Roman;serif"/>
                  <w:b w:val="false"/>
                  <w:color w:val="000080"/>
                  <w:sz w:val="20"/>
                  <w:u w:val="single"/>
                </w:rPr>
                <w:t xml:space="preserve"> months ended </w:t>
              </w:r>
            </w:hyperlink>
            <w:hyperlink w:anchor="i4b9d86d2437d4e45a317afdbcb7d6559_34">
              <w:r>
                <w:rPr>
                  <w:rStyle w:val="InternetLink"/>
                  <w:rFonts w:ascii="Times New Roman;serif" w:hAnsi="Times New Roman;serif"/>
                  <w:b w:val="false"/>
                  <w:color w:val="000080"/>
                  <w:sz w:val="20"/>
                  <w:u w:val="single"/>
                </w:rPr>
                <w:t>June</w:t>
              </w:r>
            </w:hyperlink>
            <w:hyperlink w:anchor="i4b9d86d2437d4e45a317afdbcb7d6559_34">
              <w:r>
                <w:rPr>
                  <w:rStyle w:val="InternetLink"/>
                  <w:rFonts w:ascii="Times New Roman;serif" w:hAnsi="Times New Roman;serif"/>
                  <w:b w:val="false"/>
                  <w:color w:val="000080"/>
                  <w:sz w:val="20"/>
                  <w:u w:val="single"/>
                </w:rPr>
                <w:t xml:space="preserve"> 3</w:t>
              </w:r>
            </w:hyperlink>
            <w:hyperlink w:anchor="i4b9d86d2437d4e45a317afdbcb7d6559_34">
              <w:r>
                <w:rPr>
                  <w:rStyle w:val="InternetLink"/>
                  <w:rFonts w:ascii="Times New Roman;serif" w:hAnsi="Times New Roman;serif"/>
                  <w:b w:val="false"/>
                  <w:color w:val="000080"/>
                  <w:sz w:val="20"/>
                  <w:u w:val="single"/>
                </w:rPr>
                <w:t>0</w:t>
              </w:r>
            </w:hyperlink>
            <w:hyperlink w:anchor="i4b9d86d2437d4e45a317afdbcb7d6559_34">
              <w:r>
                <w:rPr>
                  <w:rStyle w:val="InternetLink"/>
                  <w:rFonts w:ascii="Times New Roman;serif" w:hAnsi="Times New Roman;serif"/>
                  <w:b w:val="false"/>
                  <w:color w:val="000080"/>
                  <w:sz w:val="20"/>
                  <w:u w:val="single"/>
                </w:rPr>
                <w:t>,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34">
              <w:r>
                <w:rPr>
                  <w:rStyle w:val="InternetLink"/>
                  <w:rFonts w:ascii="Times New Roman;serif" w:hAnsi="Times New Roman;serif"/>
                  <w:b w:val="false"/>
                  <w:color w:val="0000FF"/>
                  <w:sz w:val="20"/>
                  <w:u w:val="single"/>
                </w:rPr>
                <w:t>6</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43">
              <w:r>
                <w:rPr>
                  <w:rStyle w:val="InternetLink"/>
                  <w:rFonts w:ascii="Times New Roman;serif" w:hAnsi="Times New Roman;serif"/>
                  <w:b w:val="false"/>
                  <w:color w:val="0000FF"/>
                  <w:sz w:val="20"/>
                  <w:u w:val="single"/>
                </w:rPr>
                <w:t>Note 1 — Basis of Presentation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43">
              <w:r>
                <w:rPr>
                  <w:rStyle w:val="InternetLink"/>
                  <w:rFonts w:ascii="Times New Roman;serif" w:hAnsi="Times New Roman;serif"/>
                  <w:b w:val="false"/>
                  <w:color w:val="0000FF"/>
                  <w:sz w:val="20"/>
                  <w:u w:val="single"/>
                </w:rPr>
                <w:t>7</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46">
              <w:r>
                <w:rPr>
                  <w:rStyle w:val="InternetLink"/>
                  <w:rFonts w:ascii="Times New Roman;serif" w:hAnsi="Times New Roman;serif"/>
                  <w:b w:val="false"/>
                  <w:color w:val="0000FF"/>
                  <w:sz w:val="20"/>
                  <w:u w:val="single"/>
                </w:rPr>
                <w:t>Note 2 — Revenue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46">
              <w:r>
                <w:rPr>
                  <w:rStyle w:val="InternetLink"/>
                  <w:rFonts w:ascii="Times New Roman;serif" w:hAnsi="Times New Roman;serif"/>
                  <w:b w:val="false"/>
                  <w:color w:val="0000FF"/>
                  <w:sz w:val="20"/>
                  <w:u w:val="single"/>
                </w:rPr>
                <w:t>7</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55">
              <w:r>
                <w:rPr>
                  <w:rStyle w:val="InternetLink"/>
                  <w:rFonts w:ascii="Times New Roman;serif" w:hAnsi="Times New Roman;serif"/>
                  <w:b w:val="false"/>
                  <w:color w:val="0000FF"/>
                  <w:sz w:val="20"/>
                  <w:u w:val="single"/>
                </w:rPr>
                <w:t>Note 3 — Acquisitions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55">
              <w:r>
                <w:rPr>
                  <w:rStyle w:val="InternetLink"/>
                  <w:rFonts w:ascii="Times New Roman;serif" w:hAnsi="Times New Roman;serif"/>
                  <w:b w:val="false"/>
                  <w:color w:val="0000FF"/>
                  <w:sz w:val="20"/>
                  <w:u w:val="single"/>
                </w:rPr>
                <w:t>8</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61">
              <w:r>
                <w:rPr>
                  <w:rStyle w:val="InternetLink"/>
                  <w:rFonts w:ascii="Times New Roman;serif" w:hAnsi="Times New Roman;serif"/>
                  <w:b w:val="false"/>
                  <w:color w:val="0000FF"/>
                  <w:sz w:val="20"/>
                  <w:u w:val="single"/>
                </w:rPr>
                <w:t>Note 4 — Discontinued and Disposed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61">
              <w:r>
                <w:rPr>
                  <w:rStyle w:val="InternetLink"/>
                  <w:rFonts w:ascii="Times New Roman;serif" w:hAnsi="Times New Roman;serif"/>
                  <w:b w:val="false"/>
                  <w:color w:val="0000FF"/>
                  <w:sz w:val="20"/>
                  <w:u w:val="single"/>
                </w:rPr>
                <w:t>9</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67">
              <w:r>
                <w:rPr>
                  <w:rStyle w:val="InternetLink"/>
                  <w:rFonts w:ascii="Times New Roman;serif" w:hAnsi="Times New Roman;serif"/>
                  <w:b w:val="false"/>
                  <w:color w:val="0000FF"/>
                  <w:sz w:val="20"/>
                  <w:u w:val="single"/>
                </w:rPr>
                <w:t>Note 5 — Inventories, net</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67">
              <w:r>
                <w:rPr>
                  <w:rStyle w:val="InternetLink"/>
                  <w:rFonts w:ascii="Times New Roman;serif" w:hAnsi="Times New Roman;serif"/>
                  <w:b w:val="false"/>
                  <w:color w:val="0000FF"/>
                  <w:sz w:val="20"/>
                  <w:u w:val="single"/>
                </w:rPr>
                <w:t>10</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70">
              <w:r>
                <w:rPr>
                  <w:rStyle w:val="InternetLink"/>
                  <w:rFonts w:ascii="Times New Roman;serif" w:hAnsi="Times New Roman;serif"/>
                  <w:b w:val="false"/>
                  <w:color w:val="0000FF"/>
                  <w:sz w:val="20"/>
                  <w:u w:val="single"/>
                </w:rPr>
                <w:t>Note 6 — Property, Plant and Equipment, net</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70">
              <w:r>
                <w:rPr>
                  <w:rStyle w:val="InternetLink"/>
                  <w:rFonts w:ascii="Times New Roman;serif" w:hAnsi="Times New Roman;serif"/>
                  <w:b w:val="false"/>
                  <w:color w:val="0000FF"/>
                  <w:sz w:val="20"/>
                  <w:u w:val="single"/>
                </w:rPr>
                <w:t>10</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73">
              <w:r>
                <w:rPr>
                  <w:rStyle w:val="InternetLink"/>
                  <w:rFonts w:ascii="Times New Roman;serif" w:hAnsi="Times New Roman;serif"/>
                  <w:b w:val="false"/>
                  <w:color w:val="0000FF"/>
                  <w:sz w:val="20"/>
                  <w:u w:val="single"/>
                </w:rPr>
                <w:t>Note 7 — Credit Losses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73">
              <w:r>
                <w:rPr>
                  <w:rStyle w:val="InternetLink"/>
                  <w:rFonts w:ascii="Times New Roman;serif" w:hAnsi="Times New Roman;serif"/>
                  <w:b w:val="false"/>
                  <w:color w:val="0000FF"/>
                  <w:sz w:val="20"/>
                  <w:u w:val="single"/>
                </w:rPr>
                <w:t>10</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76">
              <w:r>
                <w:rPr>
                  <w:rStyle w:val="InternetLink"/>
                  <w:rFonts w:ascii="Times New Roman;serif" w:hAnsi="Times New Roman;serif"/>
                  <w:b w:val="false"/>
                  <w:color w:val="0000FF"/>
                  <w:sz w:val="20"/>
                  <w:u w:val="single"/>
                </w:rPr>
                <w:t>Note 8 — Goodwill and Other Intangible Assets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76">
              <w:r>
                <w:rPr>
                  <w:rStyle w:val="InternetLink"/>
                  <w:rFonts w:ascii="Times New Roman;serif" w:hAnsi="Times New Roman;serif"/>
                  <w:b w:val="false"/>
                  <w:color w:val="0000FF"/>
                  <w:sz w:val="20"/>
                  <w:u w:val="single"/>
                </w:rPr>
                <w:t>11</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82">
              <w:r>
                <w:rPr>
                  <w:rStyle w:val="InternetLink"/>
                  <w:rFonts w:ascii="Times New Roman;serif" w:hAnsi="Times New Roman;serif"/>
                  <w:b w:val="false"/>
                  <w:color w:val="0000FF"/>
                  <w:sz w:val="20"/>
                  <w:u w:val="single"/>
                </w:rPr>
                <w:t>Note 9 — Restructuring Activities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82">
              <w:r>
                <w:rPr>
                  <w:rStyle w:val="InternetLink"/>
                  <w:rFonts w:ascii="Times New Roman;serif" w:hAnsi="Times New Roman;serif"/>
                  <w:b w:val="false"/>
                  <w:color w:val="0000FF"/>
                  <w:sz w:val="20"/>
                  <w:u w:val="single"/>
                </w:rPr>
                <w:t>12</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88">
              <w:r>
                <w:rPr>
                  <w:rStyle w:val="InternetLink"/>
                  <w:rFonts w:ascii="Times New Roman;serif" w:hAnsi="Times New Roman;serif"/>
                  <w:b w:val="false"/>
                  <w:color w:val="0000FF"/>
                  <w:sz w:val="20"/>
                  <w:u w:val="single"/>
                </w:rPr>
                <w:t>Note 10 — Borrowings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88">
              <w:r>
                <w:rPr>
                  <w:rStyle w:val="InternetLink"/>
                  <w:rFonts w:ascii="Times New Roman;serif" w:hAnsi="Times New Roman;serif"/>
                  <w:b w:val="false"/>
                  <w:color w:val="0000FF"/>
                  <w:sz w:val="20"/>
                  <w:u w:val="single"/>
                </w:rPr>
                <w:t>13</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91">
              <w:r>
                <w:rPr>
                  <w:rStyle w:val="InternetLink"/>
                  <w:rFonts w:ascii="Times New Roman;serif" w:hAnsi="Times New Roman;serif"/>
                  <w:b w:val="false"/>
                  <w:color w:val="0000FF"/>
                  <w:sz w:val="20"/>
                  <w:u w:val="single"/>
                </w:rPr>
                <w:t>Note 11 — Financial Instruments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91">
              <w:r>
                <w:rPr>
                  <w:rStyle w:val="InternetLink"/>
                  <w:rFonts w:ascii="Times New Roman;serif" w:hAnsi="Times New Roman;serif"/>
                  <w:b w:val="false"/>
                  <w:color w:val="0000FF"/>
                  <w:sz w:val="20"/>
                  <w:u w:val="single"/>
                </w:rPr>
                <w:t>14</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94">
              <w:r>
                <w:rPr>
                  <w:rStyle w:val="InternetLink"/>
                  <w:rFonts w:ascii="Times New Roman;serif" w:hAnsi="Times New Roman;serif"/>
                  <w:b w:val="false"/>
                  <w:color w:val="0000FF"/>
                  <w:sz w:val="20"/>
                  <w:u w:val="single"/>
                </w:rPr>
                <w:t>Note 12 — Income Taxes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94">
              <w:r>
                <w:rPr>
                  <w:rStyle w:val="InternetLink"/>
                  <w:rFonts w:ascii="Times New Roman;serif" w:hAnsi="Times New Roman;serif"/>
                  <w:b w:val="false"/>
                  <w:color w:val="0000FF"/>
                  <w:sz w:val="20"/>
                  <w:u w:val="single"/>
                </w:rPr>
                <w:t>15</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00">
              <w:r>
                <w:rPr>
                  <w:rStyle w:val="InternetLink"/>
                  <w:rFonts w:ascii="Times New Roman;serif" w:hAnsi="Times New Roman;serif"/>
                  <w:b w:val="false"/>
                  <w:color w:val="0000FF"/>
                  <w:sz w:val="20"/>
                  <w:u w:val="single"/>
                </w:rPr>
                <w:t>Note 13 — Equity Incentive Program</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00">
              <w:r>
                <w:rPr>
                  <w:rStyle w:val="InternetLink"/>
                  <w:rFonts w:ascii="Times New Roman;serif" w:hAnsi="Times New Roman;serif"/>
                  <w:b w:val="false"/>
                  <w:color w:val="0000FF"/>
                  <w:sz w:val="20"/>
                  <w:u w:val="single"/>
                </w:rPr>
                <w:t>16</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06">
              <w:r>
                <w:rPr>
                  <w:rStyle w:val="InternetLink"/>
                  <w:rFonts w:ascii="Times New Roman;serif" w:hAnsi="Times New Roman;serif"/>
                  <w:b w:val="false"/>
                  <w:color w:val="0000FF"/>
                  <w:sz w:val="20"/>
                  <w:u w:val="single"/>
                </w:rPr>
                <w:t>Note 14 — Commitments and Contingent Liabilities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06">
              <w:r>
                <w:rPr>
                  <w:rStyle w:val="InternetLink"/>
                  <w:rFonts w:ascii="Times New Roman;serif" w:hAnsi="Times New Roman;serif"/>
                  <w:b w:val="false"/>
                  <w:color w:val="0000FF"/>
                  <w:sz w:val="20"/>
                  <w:u w:val="single"/>
                </w:rPr>
                <w:t>17</w:t>
              </w:r>
            </w:hyperlink>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05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12">
              <w:r>
                <w:rPr>
                  <w:rStyle w:val="InternetLink"/>
                  <w:rFonts w:ascii="Times New Roman;serif" w:hAnsi="Times New Roman;serif"/>
                  <w:b w:val="false"/>
                  <w:color w:val="0000FF"/>
                  <w:sz w:val="20"/>
                  <w:u w:val="single"/>
                </w:rPr>
                <w:t>Note 15 — Accumulated Other Comprehensive Earnings (Loss)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12">
              <w:r>
                <w:rPr>
                  <w:rStyle w:val="InternetLink"/>
                  <w:rFonts w:ascii="Times New Roman;serif" w:hAnsi="Times New Roman;serif"/>
                  <w:b w:val="false"/>
                  <w:color w:val="0000FF"/>
                  <w:sz w:val="20"/>
                  <w:u w:val="single"/>
                </w:rPr>
                <w:t>18</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15">
              <w:r>
                <w:rPr>
                  <w:rStyle w:val="InternetLink"/>
                  <w:rFonts w:ascii="Times New Roman;serif" w:hAnsi="Times New Roman;serif"/>
                  <w:b w:val="false"/>
                  <w:color w:val="0000FF"/>
                  <w:sz w:val="20"/>
                  <w:u w:val="single"/>
                </w:rPr>
                <w:t>Note 16 — Segment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15">
              <w:r>
                <w:rPr>
                  <w:rStyle w:val="InternetLink"/>
                  <w:rFonts w:ascii="Times New Roman;serif" w:hAnsi="Times New Roman;serif"/>
                  <w:b w:val="false"/>
                  <w:color w:val="0000FF"/>
                  <w:sz w:val="20"/>
                  <w:u w:val="single"/>
                </w:rPr>
                <w:t>19</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21">
              <w:r>
                <w:rPr>
                  <w:rStyle w:val="InternetLink"/>
                  <w:rFonts w:ascii="Times New Roman;serif" w:hAnsi="Times New Roman;serif"/>
                  <w:b w:val="false"/>
                  <w:color w:val="0000FF"/>
                  <w:sz w:val="20"/>
                  <w:u w:val="single"/>
                </w:rPr>
                <w:t>Note 17 — Stockholders'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21">
              <w:r>
                <w:rPr>
                  <w:rStyle w:val="InternetLink"/>
                  <w:rFonts w:ascii="Times New Roman;serif" w:hAnsi="Times New Roman;serif"/>
                  <w:b w:val="false"/>
                  <w:color w:val="0000FF"/>
                  <w:sz w:val="20"/>
                  <w:u w:val="single"/>
                </w:rPr>
                <w:t>22</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27">
              <w:r>
                <w:rPr>
                  <w:rStyle w:val="InternetLink"/>
                  <w:rFonts w:ascii="Times New Roman;serif" w:hAnsi="Times New Roman;serif"/>
                  <w:b w:val="false"/>
                  <w:color w:val="0000FF"/>
                  <w:sz w:val="20"/>
                  <w:u w:val="single"/>
                </w:rPr>
                <w:t>Note 18 — Earnings per Share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27">
              <w:r>
                <w:rPr>
                  <w:rStyle w:val="InternetLink"/>
                  <w:rFonts w:ascii="Times New Roman;serif" w:hAnsi="Times New Roman;serif"/>
                  <w:b w:val="false"/>
                  <w:color w:val="0000FF"/>
                  <w:sz w:val="20"/>
                  <w:u w:val="single"/>
                </w:rPr>
                <w:t>23</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33">
              <w:r>
                <w:rPr>
                  <w:rStyle w:val="InternetLink"/>
                  <w:rFonts w:ascii="Times New Roman;serif" w:hAnsi="Times New Roman;serif"/>
                  <w:b w:val="false"/>
                  <w:color w:val="0000FF"/>
                  <w:sz w:val="20"/>
                  <w:u w:val="single"/>
                </w:rPr>
                <w:t>Note 19 — Recent Accounting Pronouncements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33">
              <w:r>
                <w:rPr>
                  <w:rStyle w:val="InternetLink"/>
                  <w:rFonts w:ascii="Times New Roman;serif" w:hAnsi="Times New Roman;serif"/>
                  <w:b w:val="false"/>
                  <w:color w:val="0000FF"/>
                  <w:sz w:val="20"/>
                  <w:u w:val="single"/>
                </w:rPr>
                <w:t>23</w:t>
              </w:r>
            </w:hyperlink>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05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05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05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48">
              <w:r>
                <w:rPr>
                  <w:rStyle w:val="InternetLink"/>
                  <w:rFonts w:ascii="Times New Roman;serif" w:hAnsi="Times New Roman;serif"/>
                  <w:b w:val="false"/>
                  <w:color w:val="0000FF"/>
                  <w:sz w:val="20"/>
                  <w:u w:val="single"/>
                </w:rPr>
                <w:t>Item 2.</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14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148">
              <w:r>
                <w:rPr>
                  <w:rStyle w:val="InternetLink"/>
                  <w:rFonts w:ascii="Times New Roman;serif" w:hAnsi="Times New Roman;serif"/>
                  <w:b w:val="false"/>
                  <w:color w:val="0000FF"/>
                  <w:sz w:val="20"/>
                  <w:u w:val="single"/>
                </w:rPr>
                <w:t>25</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05">
              <w:r>
                <w:rPr>
                  <w:rStyle w:val="InternetLink"/>
                  <w:rFonts w:ascii="Times New Roman;serif" w:hAnsi="Times New Roman;serif"/>
                  <w:b w:val="false"/>
                  <w:color w:val="0000FF"/>
                  <w:sz w:val="20"/>
                  <w:u w:val="single"/>
                </w:rPr>
                <w:t>Item 3.</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05">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05">
              <w:r>
                <w:rPr>
                  <w:rStyle w:val="InternetLink"/>
                  <w:rFonts w:ascii="Times New Roman;serif" w:hAnsi="Times New Roman;serif"/>
                  <w:b w:val="false"/>
                  <w:color w:val="0000FF"/>
                  <w:sz w:val="20"/>
                  <w:u w:val="single"/>
                </w:rPr>
                <w:t>42</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08">
              <w:r>
                <w:rPr>
                  <w:rStyle w:val="InternetLink"/>
                  <w:rFonts w:ascii="Times New Roman;serif" w:hAnsi="Times New Roman;serif"/>
                  <w:b w:val="false"/>
                  <w:color w:val="0000FF"/>
                  <w:sz w:val="20"/>
                  <w:u w:val="single"/>
                </w:rPr>
                <w:t>Item 4.</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08">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08">
              <w:r>
                <w:rPr>
                  <w:rStyle w:val="InternetLink"/>
                  <w:rFonts w:ascii="Times New Roman;serif" w:hAnsi="Times New Roman;serif"/>
                  <w:b w:val="false"/>
                  <w:color w:val="0000FF"/>
                  <w:sz w:val="20"/>
                  <w:u w:val="single"/>
                </w:rPr>
                <w:t>43</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11">
              <w:r>
                <w:rPr>
                  <w:rStyle w:val="InternetLink"/>
                  <w:rFonts w:ascii="Times New Roman;serif" w:hAnsi="Times New Roman;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14">
              <w:r>
                <w:rPr>
                  <w:rStyle w:val="InternetLink"/>
                  <w:rFonts w:ascii="Times New Roman;serif" w:hAnsi="Times New Roman;serif"/>
                  <w:b w:val="false"/>
                  <w:color w:val="0000FF"/>
                  <w:sz w:val="20"/>
                  <w:u w:val="single"/>
                </w:rPr>
                <w:t>Item 1.</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14">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14">
              <w:r>
                <w:rPr>
                  <w:rStyle w:val="InternetLink"/>
                  <w:rFonts w:ascii="Times New Roman;serif" w:hAnsi="Times New Roman;serif"/>
                  <w:b w:val="false"/>
                  <w:color w:val="0000FF"/>
                  <w:sz w:val="20"/>
                  <w:u w:val="single"/>
                </w:rPr>
                <w:t>43</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17">
              <w:r>
                <w:rPr>
                  <w:rStyle w:val="InternetLink"/>
                  <w:rFonts w:ascii="Times New Roman;serif" w:hAnsi="Times New Roman;serif"/>
                  <w:b w:val="false"/>
                  <w:color w:val="0000FF"/>
                  <w:sz w:val="20"/>
                  <w:u w:val="single"/>
                </w:rPr>
                <w:t>Item 1A.</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17">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17">
              <w:r>
                <w:rPr>
                  <w:rStyle w:val="InternetLink"/>
                  <w:rFonts w:ascii="Times New Roman;serif" w:hAnsi="Times New Roman;serif"/>
                  <w:b w:val="false"/>
                  <w:color w:val="0000FF"/>
                  <w:sz w:val="20"/>
                  <w:u w:val="single"/>
                </w:rPr>
                <w:t>43</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20">
              <w:r>
                <w:rPr>
                  <w:rStyle w:val="InternetLink"/>
                  <w:rFonts w:ascii="Times New Roman;serif" w:hAnsi="Times New Roman;serif"/>
                  <w:b w:val="false"/>
                  <w:color w:val="0000FF"/>
                  <w:sz w:val="20"/>
                  <w:u w:val="single"/>
                </w:rPr>
                <w:t>Item 2.</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20">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20">
              <w:r>
                <w:rPr>
                  <w:rStyle w:val="InternetLink"/>
                  <w:rFonts w:ascii="Times New Roman;serif" w:hAnsi="Times New Roman;serif"/>
                  <w:b w:val="false"/>
                  <w:color w:val="0000FF"/>
                  <w:sz w:val="20"/>
                  <w:u w:val="single"/>
                </w:rPr>
                <w:t>43</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26">
              <w:r>
                <w:rPr>
                  <w:rStyle w:val="InternetLink"/>
                  <w:rFonts w:ascii="Times New Roman;serif" w:hAnsi="Times New Roman;serif"/>
                  <w:b w:val="false"/>
                  <w:color w:val="0000FF"/>
                  <w:sz w:val="20"/>
                  <w:u w:val="single"/>
                </w:rPr>
                <w:t>Item 3.</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26">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26">
              <w:r>
                <w:rPr>
                  <w:rStyle w:val="InternetLink"/>
                  <w:rFonts w:ascii="Times New Roman;serif" w:hAnsi="Times New Roman;serif"/>
                  <w:b w:val="false"/>
                  <w:color w:val="0000FF"/>
                  <w:sz w:val="20"/>
                  <w:u w:val="single"/>
                </w:rPr>
                <w:t>44</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29">
              <w:r>
                <w:rPr>
                  <w:rStyle w:val="InternetLink"/>
                  <w:rFonts w:ascii="Times New Roman;serif" w:hAnsi="Times New Roman;serif"/>
                  <w:b w:val="false"/>
                  <w:color w:val="0000FF"/>
                  <w:sz w:val="20"/>
                  <w:u w:val="single"/>
                </w:rPr>
                <w:t>Item 4.</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29">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29">
              <w:r>
                <w:rPr>
                  <w:rStyle w:val="InternetLink"/>
                  <w:rFonts w:ascii="Times New Roman;serif" w:hAnsi="Times New Roman;serif"/>
                  <w:b w:val="false"/>
                  <w:color w:val="0000FF"/>
                  <w:sz w:val="20"/>
                  <w:u w:val="single"/>
                </w:rPr>
                <w:t>44</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32">
              <w:r>
                <w:rPr>
                  <w:rStyle w:val="InternetLink"/>
                  <w:rFonts w:ascii="Times New Roman;serif" w:hAnsi="Times New Roman;serif"/>
                  <w:b w:val="false"/>
                  <w:color w:val="0000FF"/>
                  <w:sz w:val="20"/>
                  <w:u w:val="single"/>
                </w:rPr>
                <w:t>Item 5.</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32">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32">
              <w:r>
                <w:rPr>
                  <w:rStyle w:val="InternetLink"/>
                  <w:rFonts w:ascii="Times New Roman;serif" w:hAnsi="Times New Roman;serif"/>
                  <w:b w:val="false"/>
                  <w:color w:val="0000FF"/>
                  <w:sz w:val="20"/>
                  <w:u w:val="single"/>
                </w:rPr>
                <w:t>44</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35">
              <w:r>
                <w:rPr>
                  <w:rStyle w:val="InternetLink"/>
                  <w:rFonts w:ascii="Times New Roman;serif" w:hAnsi="Times New Roman;serif"/>
                  <w:b w:val="false"/>
                  <w:color w:val="0000FF"/>
                  <w:sz w:val="20"/>
                  <w:u w:val="single"/>
                </w:rPr>
                <w:t>Item 6.</w:t>
              </w:r>
            </w:hyperlink>
          </w:p>
        </w:tc>
        <w:tc>
          <w:tcPr>
            <w:tcW w:w="8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35">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35">
              <w:r>
                <w:rPr>
                  <w:rStyle w:val="InternetLink"/>
                  <w:rFonts w:ascii="Times New Roman;serif" w:hAnsi="Times New Roman;serif"/>
                  <w:b w:val="false"/>
                  <w:color w:val="0000FF"/>
                  <w:sz w:val="20"/>
                  <w:u w:val="single"/>
                </w:rPr>
                <w:t>45</w:t>
              </w:r>
            </w:hyperlink>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b9d86d2437d4e45a317afdbcb7d6559_238">
              <w:r>
                <w:rPr>
                  <w:rStyle w:val="InternetLink"/>
                  <w:rFonts w:ascii="Times New Roman;serif" w:hAnsi="Times New Roman;serif"/>
                  <w:b/>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9d86d2437d4e45a317afdbcb7d6559_238">
              <w:r>
                <w:rPr>
                  <w:rStyle w:val="InternetLink"/>
                  <w:rFonts w:ascii="Times New Roman;serif" w:hAnsi="Times New Roman;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EARNINGS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60"/>
        <w:gridCol w:w="1265"/>
        <w:gridCol w:w="126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3,915,651 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2,351,889 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1,563,762 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650,906 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647,478 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from continuing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 from continuing operations: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per share from discontinued operations: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w:t>
      </w:r>
    </w:p>
    <w:p>
      <w:pPr>
        <w:pStyle w:val="TextBody"/>
        <w:bidi w:val="0"/>
        <w:spacing w:lineRule="auto" w:line="28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80"/>
        <w:gridCol w:w="1448"/>
        <w:gridCol w:w="14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7"/>
      </w:tblGrid>
      <w:tr>
        <w:trPr/>
        <w:tc>
          <w:tcPr>
            <w:tcW w:w="168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earnings, net of tax</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foreign currency translation (gains) losses to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foreign currency translation adjustments (net of $(7,031), $25,212, $(15,791) and $34,800 tax (provision) benefit, respectively)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plans: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 included in net periodic pension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credits included in net periodic pension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Settlement and curtailment impact</w:t>
            </w:r>
            <w:r>
              <w:rPr>
                <w:rFonts w:ascii="Times New Roman;serif" w:hAnsi="Times New Roman;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pension and other post-retirement benefit plans (net of $120, $293, $242 and $425 tax benefit, respectively)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gain (loss) arising during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reclassified into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flow hedges (net of $69, $877, $(392) and $1,273 tax benefit (provision), respectively)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net of tax</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earnings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645,995 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loss from discontinued operations, net in the condensed consolidated statement of earnings.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64"/>
        <w:gridCol w:w="2125"/>
        <w:gridCol w:w="2124"/>
        <w:gridCol w:w="211"/>
        <w:gridCol w:w="1081"/>
        <w:gridCol w:w="109"/>
        <w:gridCol w:w="109"/>
        <w:gridCol w:w="109"/>
        <w:gridCol w:w="109"/>
        <w:gridCol w:w="242"/>
        <w:gridCol w:w="1243"/>
        <w:gridCol w:w="179"/>
      </w:tblGrid>
      <w:tr>
        <w:trPr/>
        <w:tc>
          <w:tcPr>
            <w:tcW w:w="2564"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4,506,940 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1,119,623 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5,430,038 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 and deferred charges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13,422,423 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other income taxes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2,518,489 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2,621,295 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$1 par value; 260,421,433 and 260,194,888 shares issued at June 30, 2026 and December 31, 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14,220,582 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(7,751,380)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7,405,206 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13,694,216 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13,422,423 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712" w:type="dxa"/>
        <w:jc w:val="left"/>
        <w:tblInd w:w="0" w:type="dxa"/>
        <w:tblLayout w:type="fixed"/>
        <w:tblCellMar>
          <w:top w:w="28" w:type="dxa"/>
          <w:left w:w="28" w:type="dxa"/>
          <w:bottom w:w="28" w:type="dxa"/>
          <w:right w:w="28" w:type="dxa"/>
        </w:tblCellMar>
      </w:tblPr>
      <w:tblGrid>
        <w:gridCol w:w="834"/>
        <w:gridCol w:w="258"/>
        <w:gridCol w:w="25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(195,580)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(7,805,317)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7,489,886 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($0.52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including accelerated share repurchase program and excise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14,630,819 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(7,837,346)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7,704,004 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712" w:type="dxa"/>
        <w:jc w:val="center"/>
        <w:tblInd w:w="0" w:type="dxa"/>
        <w:tblLayout w:type="fixed"/>
        <w:tblCellMar>
          <w:top w:w="28" w:type="dxa"/>
          <w:left w:w="28" w:type="dxa"/>
          <w:bottom w:w="28" w:type="dxa"/>
          <w:right w:w="28" w:type="dxa"/>
        </w:tblCellMar>
      </w:tblPr>
      <w:tblGrid>
        <w:gridCol w:w="834"/>
        <w:gridCol w:w="258"/>
        <w:gridCol w:w="25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13,569,055 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(277,598)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7,137,767 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($0.515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(191,666)</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7,441,305 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712" w:type="dxa"/>
        <w:jc w:val="center"/>
        <w:tblInd w:w="0" w:type="dxa"/>
        <w:tblLayout w:type="fixed"/>
        <w:tblCellMar>
          <w:top w:w="28" w:type="dxa"/>
          <w:left w:w="28" w:type="dxa"/>
          <w:bottom w:w="28" w:type="dxa"/>
          <w:right w:w="28" w:type="dxa"/>
        </w:tblCellMar>
      </w:tblPr>
      <w:tblGrid>
        <w:gridCol w:w="814"/>
        <w:gridCol w:w="268"/>
        <w:gridCol w:w="26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(174,954)</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($1.04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including accelerated share repurchase program and excise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14,630,819 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(7,837,346)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7,704,004 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712" w:type="dxa"/>
        <w:jc w:val="center"/>
        <w:tblInd w:w="0" w:type="dxa"/>
        <w:tblLayout w:type="fixed"/>
        <w:tblCellMar>
          <w:top w:w="28" w:type="dxa"/>
          <w:left w:w="28" w:type="dxa"/>
          <w:bottom w:w="28" w:type="dxa"/>
          <w:right w:w="28" w:type="dxa"/>
        </w:tblCellMar>
      </w:tblPr>
      <w:tblGrid>
        <w:gridCol w:w="814"/>
        <w:gridCol w:w="268"/>
        <w:gridCol w:w="26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13,409,633 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(327,776)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(7,280,578)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6,953,996 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($1.03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13,777,499 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(191,666)</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7,441,305 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93" w:type="dxa"/>
        <w:jc w:val="center"/>
        <w:tblInd w:w="0" w:type="dxa"/>
        <w:tblLayout w:type="fixed"/>
        <w:tblCellMar>
          <w:top w:w="28" w:type="dxa"/>
          <w:left w:w="28" w:type="dxa"/>
          <w:bottom w:w="28" w:type="dxa"/>
          <w:right w:w="28" w:type="dxa"/>
        </w:tblCellMar>
      </w:tblPr>
      <w:tblGrid>
        <w:gridCol w:w="2052"/>
        <w:gridCol w:w="1807"/>
        <w:gridCol w:w="1810"/>
        <w:gridCol w:w="196"/>
        <w:gridCol w:w="871"/>
        <w:gridCol w:w="109"/>
        <w:gridCol w:w="109"/>
        <w:gridCol w:w="109"/>
        <w:gridCol w:w="109"/>
        <w:gridCol w:w="196"/>
        <w:gridCol w:w="871"/>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dispositions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effect of changes in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deferred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and cash equivalents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dispositions, net of cash transferred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(755,770)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settle employee tax obligations on exercise of share-based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(206,469)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Discontinued Operations: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 of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of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discontinued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1,755,971 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1,264,893 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2025, included in the Company's Annual Report on Form 10-K filed with the SEC on </w:t>
      </w:r>
      <w:bookmarkStart w:id="1" w:name="ia4c7edb267144a78bf9f6103319f2145_2315"/>
      <w:bookmarkEnd w:id="1"/>
      <w:r>
        <w:rPr>
          <w:rFonts w:ascii="Times New Roman;serif" w:hAnsi="Times New Roman;serif"/>
          <w:b w:val="false"/>
          <w:color w:val="000000"/>
          <w:sz w:val="20"/>
        </w:rPr>
        <w:t>February 13, 2026. The year-end consolidated balance sheet was derived from audited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have been prepared in accordance with U.S. GAAP. The preparation of these financial statements requires us to make estimates and assumptions that affect amounts reported in the condensed consolidated financial statements and accompanying disclosures. Although these estimates are based on management’s knowledge of current events and expectations about actions that the Company may undertake in the future, actual results may differ from those estimates. Our interim condensed consolidated financial statements are unaudited but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Environmental Solutions Group ("ESG") business, an operating company within the Engineered Products segment, was sold during the fourth quarter of 2024 and reported as discontinued operations. Therefore, the Company has classified the results of operations related to the disposal of ESG as discontinued operations in the condensed consolidated statements of earnings and the condensed consolidated statements of cash flows. The discussion in the notes to these condensed consolidated financial statements, unless otherwise noted, relates solely to our continuing operations. See Note 4 — Discontinued and Disposed Operations for further details.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2. Revenue</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customers is disaggregated by segment and geographic location, as these categories best depict the nature and amount of the Company’s revenue. See Note 16 — Segment Information 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Performance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we estimated that $331,237 in revenue is expected to be recognized in the future related to performance obligations that are unsatisfied (or partially unsatisfied) at the end of the reporting period. We expect to recognize approximately 65.6% of the Company's unsatisfied (or partially unsatisfied) performance obligations as revenue through 2027, 19.4% in 2028, with the remaining balance to be recognized in 2029 and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permitted by Accounting Standards Codification ("ASC") 606, the Company has excluded from its disclosures above about unsatisfied performance obligations for any contracts with an expected duration of one year or less, and contracts for which the Company recognizes revenue at the amount to which the Company has the right to invoice for services performed.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w:t>
      </w:r>
    </w:p>
    <w:tbl>
      <w:tblPr>
        <w:tblW w:w="8276" w:type="dxa"/>
        <w:jc w:val="left"/>
        <w:tblInd w:w="0" w:type="dxa"/>
        <w:tblLayout w:type="fixed"/>
        <w:tblCellMar>
          <w:top w:w="28" w:type="dxa"/>
          <w:left w:w="28" w:type="dxa"/>
          <w:bottom w:w="28" w:type="dxa"/>
          <w:right w:w="28" w:type="dxa"/>
        </w:tblCellMar>
      </w:tblPr>
      <w:tblGrid>
        <w:gridCol w:w="994"/>
        <w:gridCol w:w="873"/>
        <w:gridCol w:w="878"/>
        <w:gridCol w:w="109"/>
        <w:gridCol w:w="258"/>
        <w:gridCol w:w="883"/>
        <w:gridCol w:w="133"/>
        <w:gridCol w:w="109"/>
        <w:gridCol w:w="109"/>
        <w:gridCol w:w="109"/>
        <w:gridCol w:w="349"/>
        <w:gridCol w:w="1195"/>
        <w:gridCol w:w="180"/>
        <w:gridCol w:w="109"/>
        <w:gridCol w:w="109"/>
        <w:gridCol w:w="109"/>
        <w:gridCol w:w="344"/>
        <w:gridCol w:w="1175"/>
        <w:gridCol w:w="251"/>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current</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non-current</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revenue recognized during the six months ended June 30, 2026 and 2025 that was included in contract liabilities at the beginning of the period amounted to $106,586 and $116,466,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3.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Acquisitions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One immaterial acquisition was completed during the six months</w:t>
      </w:r>
      <w:r>
        <w:rPr>
          <w:color w:val="000000"/>
        </w:rPr>
        <w:t xml:space="preserve"> </w:t>
      </w:r>
      <w:r>
        <w:rPr>
          <w:rFonts w:ascii="Times New Roman;serif" w:hAnsi="Times New Roman;serif"/>
          <w:b w:val="false"/>
          <w:color w:val="000000"/>
          <w:sz w:val="20"/>
        </w:rPr>
        <w:t xml:space="preserve">ended June 30, 2026, within the Engineered Products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During the six months ended June 30, 2025, the Company acquired three businesses in separate transactions for total consideration of $653,891, net of cash acquired and inclusive of measurement period adjustments. These businesses were acquired to complement and expand upon existing operations within the Pumps &amp; Process Solutions Segment. The goodwill recorded as a result of these acquisitions represents the economic benefits expected to be derived from product line expansions and operational synergies. Goodwill of $9,250 is</w:t>
      </w:r>
      <w:r>
        <w:rPr>
          <w:color w:val="000000"/>
        </w:rPr>
        <w:t xml:space="preserve"> </w:t>
      </w:r>
      <w:r>
        <w:rPr>
          <w:rFonts w:ascii="Times New Roman;serif" w:hAnsi="Times New Roman;serif"/>
          <w:b w:val="false"/>
          <w:color w:val="000000"/>
          <w:sz w:val="20"/>
        </w:rPr>
        <w:t>deductible for income tax purposes and $350,516 is non-deductible for income tax purposes for these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Sikora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June 11, 2025, the Company acquired 99.8% of the equity interest in Sikora AG ("Sikora"),</w:t>
      </w:r>
      <w:r>
        <w:rPr>
          <w:color w:val="000000"/>
        </w:rPr>
        <w:t xml:space="preserve"> </w:t>
      </w:r>
      <w:r>
        <w:rPr>
          <w:rFonts w:ascii="Times New Roman;serif" w:hAnsi="Times New Roman;serif"/>
          <w:b w:val="false"/>
          <w:color w:val="000000"/>
          <w:sz w:val="20"/>
        </w:rPr>
        <w:t xml:space="preserve">a provider of precision measurement, inspection and control solutions for production processes in the wires and cables, hoses, optical fibers and plastic industries for $608,459, net of cash acquired and inclusive of measurement period adjustments. The Sikora acquisition strengthens the Company's offerings in the Pumps &amp; Process Solutions segment. In connection with this acquisition, the Company recorded goodwill of $340,478 and intangible assets of $219,058 for customer intangibles, $72,942 for unpatented technology and $17,690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 of intangible assets include discounted future cash flows, customer attrition rates and discount rates.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allocation of purchase price to the assets acquired and liabilities assumed in the Sikora acquisition, based on their estimated fair values at acquisition date:</w:t>
      </w:r>
    </w:p>
    <w:tbl>
      <w:tblPr>
        <w:tblW w:w="4473" w:type="dxa"/>
        <w:jc w:val="left"/>
        <w:tblInd w:w="0" w:type="dxa"/>
        <w:tblLayout w:type="fixed"/>
        <w:tblCellMar>
          <w:top w:w="28" w:type="dxa"/>
          <w:left w:w="28" w:type="dxa"/>
          <w:bottom w:w="28" w:type="dxa"/>
          <w:right w:w="28" w:type="dxa"/>
        </w:tblCellMar>
      </w:tblPr>
      <w:tblGrid>
        <w:gridCol w:w="1070"/>
        <w:gridCol w:w="941"/>
        <w:gridCol w:w="944"/>
        <w:gridCol w:w="211"/>
        <w:gridCol w:w="826"/>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net of cash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deferred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recorded additional measurement period adjustments resulting in an increase to goodwill of $5,592. These adjustments are based on facts and circumstances that existed, but were not known, as of the acquisition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17, 2025, the Company acquired 100% of the equity interest in Cryogenic Machinery Corp. ("Cryo-Mach"), a provider of cryogenic centrifugal pumps, mechanical seals and accessories, for total consideration of $28,909, net of cash acquired and inclusive of measurement period adjustments. The Cryo-Mach business was acquired to expand the Company's participation in cryogenic applications within the Pumps &amp; Process Solutions segment. In connection with this acquisition, the Company recorded tax-deductible goodwill of $9,250 and intangible assets of $21,020, primarily related to customer intangibles.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2025, the Company acquired 100% of the equity interest in ipp Pump Products GmbH ("ipp"), a specialized manufacturer of sanitary pump technologies, including hygienic lobe, progressive, and other processing equipment for $16,523, net of cash acquired and inclusive of measurement period adjustments. ipp's products expand the Company's capabilities in critical hygienic applications within the Pumps &amp; Process Solutions segment. In connection with this acquisition, the Company recorded goodwill of $10,038 and intangible assets of $5,648, related to customer intangibles.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assigned to goodwill and major intangible asset classifications for acquisitions during the six months ended June 30, 2025 were as follows:</w:t>
      </w:r>
    </w:p>
    <w:p>
      <w:pPr>
        <w:pStyle w:val="TextBody"/>
        <w:bidi w:val="0"/>
        <w:spacing w:before="0" w:after="0"/>
        <w:jc w:val="both"/>
        <w:rPr/>
      </w:pPr>
      <w:r>
        <w:rPr/>
      </w:r>
    </w:p>
    <w:tbl>
      <w:tblPr>
        <w:tblW w:w="7731" w:type="dxa"/>
        <w:jc w:val="left"/>
        <w:tblInd w:w="0" w:type="dxa"/>
        <w:tblLayout w:type="fixed"/>
        <w:tblCellMar>
          <w:top w:w="28" w:type="dxa"/>
          <w:left w:w="28" w:type="dxa"/>
          <w:bottom w:w="28" w:type="dxa"/>
          <w:right w:w="28" w:type="dxa"/>
        </w:tblCellMar>
      </w:tblPr>
      <w:tblGrid>
        <w:gridCol w:w="824"/>
        <w:gridCol w:w="725"/>
        <w:gridCol w:w="730"/>
        <w:gridCol w:w="295"/>
        <w:gridCol w:w="1157"/>
        <w:gridCol w:w="152"/>
        <w:gridCol w:w="109"/>
        <w:gridCol w:w="109"/>
        <w:gridCol w:w="109"/>
        <w:gridCol w:w="374"/>
        <w:gridCol w:w="374"/>
        <w:gridCol w:w="374"/>
        <w:gridCol w:w="374"/>
        <w:gridCol w:w="374"/>
        <w:gridCol w:w="374"/>
        <w:gridCol w:w="374"/>
        <w:gridCol w:w="374"/>
        <w:gridCol w:w="52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 (in years)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 non-deductible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intangibles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Unpatented technologies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696,124 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4. Discontinued and Disposed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2024, the Company completed the sale of the ESG business, an operating company within the Engineered Products segment, to Terex Corporation for total consideration, net of cash transferred, of $2.0 billion. The ESG sale qualifies for discontinued operations reporting because its disposal represented a strategic shift with a major effect on the Company's operations and financial results. As a result, the Company has classified the results of operations as discontinued operations in the condensed consolidated statements of earnings and the condensed consolidated statements of cash flows for the periods presented. During the three and six months ended June 30, 2026, other post-closing adjustments of $378 ($299 after-tax) and $778 ($615 after-tax), respectively, were recorded resulting in a loss from discontinued operations in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earnings. During the three and six months ended June 30, 2025, other post-closing adjustments of $1,335 ($1,066 after-tax) and net working capital adjustments and other post-closing adjustments of $11,993 ($9,486 after-tax), respectively, were recorded resulting in a loss from discontinued operations in the condensed consolidated statements of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a jury returned a verdict against the ESG business for approximately $58.9 million in connection with litigation involving alleged breach of contract and inducement of breach of fiduciary duty claims arising from certain product development efforts. ESG has filed post-trial motions and, if necessary, will file an appeal with the U.S. Court of Appeals for the Seventh Circuit. The Company has not recognized an expense in connection with this matter because it does not currently believe a loss is probable.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dispositions in 2025 or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5. Inventories, net</w:t>
      </w:r>
    </w:p>
    <w:tbl>
      <w:tblPr>
        <w:tblW w:w="4891" w:type="dxa"/>
        <w:jc w:val="left"/>
        <w:tblInd w:w="0" w:type="dxa"/>
        <w:tblLayout w:type="fixed"/>
        <w:tblCellMar>
          <w:top w:w="28" w:type="dxa"/>
          <w:left w:w="28" w:type="dxa"/>
          <w:bottom w:w="28" w:type="dxa"/>
          <w:right w:w="28" w:type="dxa"/>
        </w:tblCellMar>
      </w:tblPr>
      <w:tblGrid>
        <w:gridCol w:w="543"/>
        <w:gridCol w:w="476"/>
        <w:gridCol w:w="480"/>
        <w:gridCol w:w="211"/>
        <w:gridCol w:w="976"/>
        <w:gridCol w:w="109"/>
        <w:gridCol w:w="109"/>
        <w:gridCol w:w="109"/>
        <w:gridCol w:w="109"/>
        <w:gridCol w:w="278"/>
        <w:gridCol w:w="1288"/>
        <w:gridCol w:w="203"/>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765,453 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235,523 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1,423,205 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reserves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1,272,784 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6. Property, Plant and Equipment, net</w:t>
      </w:r>
    </w:p>
    <w:tbl>
      <w:tblPr>
        <w:tblW w:w="6632" w:type="dxa"/>
        <w:jc w:val="left"/>
        <w:tblInd w:w="0" w:type="dxa"/>
        <w:tblLayout w:type="fixed"/>
        <w:tblCellMar>
          <w:top w:w="28" w:type="dxa"/>
          <w:left w:w="28" w:type="dxa"/>
          <w:bottom w:w="28" w:type="dxa"/>
          <w:right w:w="28" w:type="dxa"/>
        </w:tblCellMar>
      </w:tblPr>
      <w:tblGrid>
        <w:gridCol w:w="1174"/>
        <w:gridCol w:w="1028"/>
        <w:gridCol w:w="1038"/>
        <w:gridCol w:w="211"/>
        <w:gridCol w:w="976"/>
        <w:gridCol w:w="109"/>
        <w:gridCol w:w="109"/>
        <w:gridCol w:w="109"/>
        <w:gridCol w:w="109"/>
        <w:gridCol w:w="278"/>
        <w:gridCol w:w="1288"/>
        <w:gridCol w:w="203"/>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68,650 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equipment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2,170,149 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gross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2,986,703 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2,944,555 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(1,824,932)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1,119,623 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totaled $43,363 and $43,157 for the three months ended June 30, 2026 and 2025, respectively. For the six months ended June 30, 2026 and 2025, depreciation expense totaled $87,081 and $81,826,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7. Credit Losses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credit losses primarily through sales of products and services. Due to the short-term nature of such receivables, the estimated amount of accounts receivable that may not be collected is based on the aging of the accounts receivable balances and other historical information on the financial condition of customers adjusted for current conditions. The Company has elected the practical expedient to assume that current conditions as of the balance sheet date do not change for the remaining life of the assets. Balances are written off when determined to be uncollectible.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allowance for credit losses deducted from accounts receivable that represent the net amount expected to be collected.</w:t>
      </w:r>
    </w:p>
    <w:tbl>
      <w:tblPr>
        <w:tblW w:w="6863" w:type="dxa"/>
        <w:jc w:val="left"/>
        <w:tblInd w:w="0" w:type="dxa"/>
        <w:tblLayout w:type="fixed"/>
        <w:tblCellMar>
          <w:top w:w="28" w:type="dxa"/>
          <w:left w:w="28" w:type="dxa"/>
          <w:bottom w:w="28" w:type="dxa"/>
          <w:right w:w="28" w:type="dxa"/>
        </w:tblCellMar>
      </w:tblPr>
      <w:tblGrid>
        <w:gridCol w:w="1594"/>
        <w:gridCol w:w="1404"/>
        <w:gridCol w:w="1411"/>
        <w:gridCol w:w="211"/>
        <w:gridCol w:w="721"/>
        <w:gridCol w:w="109"/>
        <w:gridCol w:w="109"/>
        <w:gridCol w:w="109"/>
        <w:gridCol w:w="109"/>
        <w:gridCol w:w="211"/>
        <w:gridCol w:w="721"/>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written off charged against the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8.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by reportable segment were as follows:</w:t>
      </w:r>
    </w:p>
    <w:tbl>
      <w:tblPr>
        <w:tblW w:w="10632" w:type="dxa"/>
        <w:jc w:val="left"/>
        <w:tblInd w:w="0" w:type="dxa"/>
        <w:tblLayout w:type="fixed"/>
        <w:tblCellMar>
          <w:top w:w="28" w:type="dxa"/>
          <w:left w:w="28" w:type="dxa"/>
          <w:bottom w:w="28" w:type="dxa"/>
          <w:right w:w="28" w:type="dxa"/>
        </w:tblCellMar>
      </w:tblPr>
      <w:tblGrid>
        <w:gridCol w:w="679"/>
        <w:gridCol w:w="268"/>
        <w:gridCol w:w="269"/>
        <w:gridCol w:w="211"/>
        <w:gridCol w:w="826"/>
        <w:gridCol w:w="109"/>
        <w:gridCol w:w="109"/>
        <w:gridCol w:w="109"/>
        <w:gridCol w:w="109"/>
        <w:gridCol w:w="211"/>
        <w:gridCol w:w="976"/>
        <w:gridCol w:w="109"/>
        <w:gridCol w:w="109"/>
        <w:gridCol w:w="109"/>
        <w:gridCol w:w="109"/>
        <w:gridCol w:w="217"/>
        <w:gridCol w:w="1006"/>
        <w:gridCol w:w="113"/>
        <w:gridCol w:w="109"/>
        <w:gridCol w:w="109"/>
        <w:gridCol w:w="109"/>
        <w:gridCol w:w="211"/>
        <w:gridCol w:w="976"/>
        <w:gridCol w:w="109"/>
        <w:gridCol w:w="109"/>
        <w:gridCol w:w="109"/>
        <w:gridCol w:w="109"/>
        <w:gridCol w:w="251"/>
        <w:gridCol w:w="984"/>
        <w:gridCol w:w="131"/>
        <w:gridCol w:w="109"/>
        <w:gridCol w:w="109"/>
        <w:gridCol w:w="109"/>
        <w:gridCol w:w="211"/>
        <w:gridCol w:w="97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1,119,608 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513,324 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5,430,038 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1,104,856 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1,593,313 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512,522 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5,376,664 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measurement period adjustments of $5,592 related to the Sikora acquisition in the second quarter of 2025 in the Pumps &amp; Process Solutions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definite-lived and indefinite-lived intangible assets by major asset class were as follows:</w:t>
      </w:r>
    </w:p>
    <w:tbl>
      <w:tblPr>
        <w:tblW w:w="10627" w:type="dxa"/>
        <w:jc w:val="left"/>
        <w:tblInd w:w="0" w:type="dxa"/>
        <w:tblLayout w:type="fixed"/>
        <w:tblCellMar>
          <w:top w:w="28" w:type="dxa"/>
          <w:left w:w="28" w:type="dxa"/>
          <w:bottom w:w="28" w:type="dxa"/>
          <w:right w:w="28" w:type="dxa"/>
        </w:tblCellMar>
      </w:tblPr>
      <w:tblGrid>
        <w:gridCol w:w="520"/>
        <w:gridCol w:w="325"/>
        <w:gridCol w:w="32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Unpatented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relationships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3,753,428 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amortization expense was $53,449 and $51,226, respectively. For the six months ended June 30, 2026 and 2025, amortization expense was $107,152 and $99,975, respectively. Amortization expense is primarily comprised of acquisition-related intangible amortization.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9. Restructuring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restructuring charges by segment were as follows:</w:t>
      </w:r>
    </w:p>
    <w:tbl>
      <w:tblPr>
        <w:tblW w:w="9135" w:type="dxa"/>
        <w:jc w:val="left"/>
        <w:tblInd w:w="0" w:type="dxa"/>
        <w:tblLayout w:type="fixed"/>
        <w:tblCellMar>
          <w:top w:w="28" w:type="dxa"/>
          <w:left w:w="28" w:type="dxa"/>
          <w:bottom w:w="28" w:type="dxa"/>
          <w:right w:w="28" w:type="dxa"/>
        </w:tblCellMar>
      </w:tblPr>
      <w:tblGrid>
        <w:gridCol w:w="1353"/>
        <w:gridCol w:w="1187"/>
        <w:gridCol w:w="119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These amounts are classified in the condensed consolidated statements of earnings as follows: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restructuring expenses of $17,012 and $47,223 incurred during the three and six months ended June 30, 2026 were primarily related to headcount reductions and exit costs in the Climate &amp; Sustainability Technologies, Pumps &amp; Process Solutions, Clean Energy &amp; Fueling and Engineered Products segments. These restructuring programs were initiated in 2025 and 2026 and the Company will continue to make proactive adjustments to its cost structure to align with current demand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severance and exit accrual activities were as follows:</w:t>
      </w:r>
    </w:p>
    <w:tbl>
      <w:tblPr>
        <w:tblW w:w="7467" w:type="dxa"/>
        <w:jc w:val="left"/>
        <w:tblInd w:w="0" w:type="dxa"/>
        <w:tblLayout w:type="fixed"/>
        <w:tblCellMar>
          <w:top w:w="28" w:type="dxa"/>
          <w:left w:w="28" w:type="dxa"/>
          <w:bottom w:w="28" w:type="dxa"/>
          <w:right w:w="28" w:type="dxa"/>
        </w:tblCellMar>
      </w:tblPr>
      <w:tblGrid>
        <w:gridCol w:w="1356"/>
        <w:gridCol w:w="1195"/>
        <w:gridCol w:w="1199"/>
        <w:gridCol w:w="211"/>
        <w:gridCol w:w="721"/>
        <w:gridCol w:w="109"/>
        <w:gridCol w:w="109"/>
        <w:gridCol w:w="109"/>
        <w:gridCol w:w="109"/>
        <w:gridCol w:w="211"/>
        <w:gridCol w:w="616"/>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shd w:fill="FFFFFF" w:val="clear"/>
        </w:rPr>
        <w:t xml:space="preserve"> </w:t>
      </w:r>
      <w:r>
        <w:rPr>
          <w:rFonts w:ascii="Times New Roman;serif" w:hAnsi="Times New Roman;serif"/>
          <w:b w:val="false"/>
          <w:color w:val="000000"/>
          <w:sz w:val="18"/>
          <w:shd w:fill="FFFFFF" w:val="clear"/>
        </w:rPr>
        <w:t>Exit reserves activity includes non-cash asset charges within the Climate &amp; Sustainability Technologies and Clean Energy &amp; Fueling segments.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10. Borrowings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consist of the following:</w:t>
      </w:r>
    </w:p>
    <w:tbl>
      <w:tblPr>
        <w:tblW w:w="10204" w:type="dxa"/>
        <w:jc w:val="left"/>
        <w:tblInd w:w="0" w:type="dxa"/>
        <w:tblLayout w:type="fixed"/>
        <w:tblCellMar>
          <w:top w:w="28" w:type="dxa"/>
          <w:left w:w="28" w:type="dxa"/>
          <w:bottom w:w="28" w:type="dxa"/>
          <w:right w:w="28" w:type="dxa"/>
        </w:tblCellMar>
      </w:tblPr>
      <w:tblGrid>
        <w:gridCol w:w="1927"/>
        <w:gridCol w:w="1694"/>
        <w:gridCol w:w="1703"/>
        <w:gridCol w:w="226"/>
        <w:gridCol w:w="826"/>
        <w:gridCol w:w="109"/>
        <w:gridCol w:w="109"/>
        <w:gridCol w:w="109"/>
        <w:gridCol w:w="109"/>
        <w:gridCol w:w="211"/>
        <w:gridCol w:w="976"/>
        <w:gridCol w:w="109"/>
        <w:gridCol w:w="109"/>
        <w:gridCol w:w="109"/>
        <w:gridCol w:w="109"/>
        <w:gridCol w:w="278"/>
        <w:gridCol w:w="1288"/>
        <w:gridCol w:w="203"/>
      </w:tblGrid>
      <w:tr>
        <w:trPr/>
        <w:tc>
          <w:tcPr>
            <w:tcW w:w="192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Carrying amount </w:t>
            </w:r>
            <w:r>
              <w:rPr>
                <w:rFonts w:ascii="Times New Roman;serif" w:hAnsi="Times New Roman;serif"/>
                <w:b/>
                <w:color w:val="000000"/>
                <w:sz w:val="13"/>
              </w:rPr>
              <w:t>(1)</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1.25% 10-year notes due November 9, 2026 (euro-denominated)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0.750% 8-year notes due November 4, 2027 (euro-denominated)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6.65% 30-year debentures due June 1, 2028</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199,757 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2.950% 10-year notes due November 4, 2029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8-year notes due November 12, 2033 (euro-denominated)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30-year debentures due October 15, 2035</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6.60% 30-year notes due March 15, 2038</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30-year notes due March 1, 2041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3,327,972 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long-term debt current portion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long-term debt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2,621,295 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Carrying amount is net of unamortized debt discount and deferred debt issuance costs. Total unamortized debt discounts on total long-term debt were $7.5 million and $8.6 million as of June 30, 2026 and December 31, 2025, respectively. Total deferred debt issuance costs on total long-term debt were $8.6 million and $9.7 million as of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 2026, the Company entered into a new $1.5 billion five-year unsecured revolving credit facility (the "Credit Agreement") with a syndicate of banks. The previous $1.0 billion five-year unsecured revolving credit facility was terminated upon execution of the new credit facility and the previous $500.0 million 364-day unsecured revolving credit facility expired on the same day. The lenders' commitments under the five-year Credit Agreement will terminate and the loans under the Credit Agreement will mature on April 2, 2031. The Credit Agreement is designated as a liquidity back-stop for the Company's commercial paper program and also is available for general corporate purposes. At the Company's election, loans under the Credit Agreement will bear interest at a base rate plus an applicable margin. The Credit Agreement requires the Company to pay facility fees and imposes various restrictions on the Company such as, among other things, a requirement to maintain a minimum interest coverage ratio of consolidated EBITDA to consolidated net interest expense of not less than 3.0 to 1. There were no outstanding borrowings under the new Credit Agreement as of June 30, 2026 or previous five-year and 364-day credit facilities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covenants in the Credit Agreement and other long-term debt covenants at June 30, 2026 and had an interest coverage ratio of consolidated EBITDA to consolidated net interest expense of 36.9 to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Letters of Credit and other Guarantees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approximately $230.0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11. Financial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 Hedges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June 30, 2026 and December 31, 2025, the Company had contracts with total notional amounts of $150,105 and $153,765, respectively, to exchange currencies, principally euro, pound sterling, Swedish krona, Canadian dollar, Chinese yuan, and Swiss franc. The Company believes it is probable that all forecasted cash flow transactions will occur.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Company had outstanding contracts with a total notional amount of $104,950 and $74,403 as of June 30, 2026 and December 31, 2025,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values of derivative instruments designated as cash flow hedges held by the Company as of June 30, 2026 and December 31, 2025 and the balance sheet lines in which they are recorded:</w:t>
      </w:r>
    </w:p>
    <w:tbl>
      <w:tblPr>
        <w:tblW w:w="8569" w:type="dxa"/>
        <w:jc w:val="left"/>
        <w:tblInd w:w="0" w:type="dxa"/>
        <w:tblLayout w:type="fixed"/>
        <w:tblCellMar>
          <w:top w:w="28" w:type="dxa"/>
          <w:left w:w="28" w:type="dxa"/>
          <w:bottom w:w="28" w:type="dxa"/>
          <w:right w:w="28" w:type="dxa"/>
        </w:tblCellMar>
      </w:tblPr>
      <w:tblGrid>
        <w:gridCol w:w="782"/>
        <w:gridCol w:w="688"/>
        <w:gridCol w:w="690"/>
        <w:gridCol w:w="287"/>
        <w:gridCol w:w="840"/>
        <w:gridCol w:w="148"/>
        <w:gridCol w:w="128"/>
        <w:gridCol w:w="128"/>
        <w:gridCol w:w="128"/>
        <w:gridCol w:w="461"/>
        <w:gridCol w:w="1021"/>
        <w:gridCol w:w="242"/>
        <w:gridCol w:w="109"/>
        <w:gridCol w:w="109"/>
        <w:gridCol w:w="109"/>
        <w:gridCol w:w="789"/>
        <w:gridCol w:w="789"/>
        <w:gridCol w:w="1121"/>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cash flow hedge, the change in estimated fair value of a hedging instrument is recorded in accumulated other comprehensive earnings (loss), net of tax as a separate component of the condensed consolidated statements of stockholders' equity and is reclassified into revenues or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designates certain non-derivative instruments as net investment hedges to hedge the net assets of certain foreign subsidiaries which are exposed to volatility in foreign currency exchange rates. The Company has designated the €600,000, €500,000, and €550,000 of euro-denominated notes issued November 9, 2016, November 4, 2019, and November 12, 2025, respectively, as hedges of its net investment in euro-denominated operations. In May of 2025, the Company entered into a €550,000 currency forward contract designated as a net investment hedge for the duration of the contract. The forward contract settled in December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value of the euro-denominated debt and currency forward contract, which are calculated using the spot method, are recognized in foreign currency translation adjustments within other comprehensive earnings (loss) of the condensed consolidated statements of comprehensive earnings. These changes in fair value of the euro-denominated debt and currency forward contract resulting from exchange rate differences are offset by changes in the net investment due to the high degree of effectiveness between the hedging instruments and the exposure being hedged.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recognized in other comprehensive earnings (loss) for the gains (losses) on net investment hedges were as follows:</w:t>
      </w:r>
    </w:p>
    <w:tbl>
      <w:tblPr>
        <w:tblW w:w="9845" w:type="dxa"/>
        <w:jc w:val="left"/>
        <w:tblInd w:w="0" w:type="dxa"/>
        <w:tblLayout w:type="fixed"/>
        <w:tblCellMar>
          <w:top w:w="28" w:type="dxa"/>
          <w:left w:w="28" w:type="dxa"/>
          <w:bottom w:w="28" w:type="dxa"/>
          <w:right w:w="28" w:type="dxa"/>
        </w:tblCellMar>
      </w:tblPr>
      <w:tblGrid>
        <w:gridCol w:w="1543"/>
        <w:gridCol w:w="1356"/>
        <w:gridCol w:w="1361"/>
        <w:gridCol w:w="223"/>
        <w:gridCol w:w="762"/>
        <w:gridCol w:w="115"/>
        <w:gridCol w:w="115"/>
        <w:gridCol w:w="115"/>
        <w:gridCol w:w="115"/>
        <w:gridCol w:w="223"/>
        <w:gridCol w:w="841"/>
        <w:gridCol w:w="115"/>
        <w:gridCol w:w="109"/>
        <w:gridCol w:w="109"/>
        <w:gridCol w:w="109"/>
        <w:gridCol w:w="211"/>
        <w:gridCol w:w="721"/>
        <w:gridCol w:w="109"/>
        <w:gridCol w:w="109"/>
        <w:gridCol w:w="109"/>
        <w:gridCol w:w="109"/>
        <w:gridCol w:w="211"/>
        <w:gridCol w:w="90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euro-denominated debt</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(137,760)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currency forward contract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net investment hedges</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(111,524)</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(153,937)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 benefit </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 on net investment hedges, net of tax</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(86,312)</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 inputs are quoted prices (unadjusted) in active markets for identical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are unobservable inputs in which little or no market data exists, therefore requiring an entity to develop its own assumptions.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assets and liabilities measured at fair value on a recurring basis as of June 30, 2026 and December 31, 2025:</w:t>
      </w:r>
    </w:p>
    <w:tbl>
      <w:tblPr>
        <w:tblW w:w="7845" w:type="dxa"/>
        <w:jc w:val="left"/>
        <w:tblInd w:w="0" w:type="dxa"/>
        <w:tblLayout w:type="fixed"/>
        <w:tblCellMar>
          <w:top w:w="28" w:type="dxa"/>
          <w:left w:w="28" w:type="dxa"/>
          <w:bottom w:w="28" w:type="dxa"/>
          <w:right w:w="28" w:type="dxa"/>
        </w:tblCellMar>
      </w:tblPr>
      <w:tblGrid>
        <w:gridCol w:w="1055"/>
        <w:gridCol w:w="931"/>
        <w:gridCol w:w="938"/>
        <w:gridCol w:w="109"/>
        <w:gridCol w:w="109"/>
        <w:gridCol w:w="287"/>
        <w:gridCol w:w="839"/>
        <w:gridCol w:w="148"/>
        <w:gridCol w:w="109"/>
        <w:gridCol w:w="109"/>
        <w:gridCol w:w="109"/>
        <w:gridCol w:w="109"/>
        <w:gridCol w:w="109"/>
        <w:gridCol w:w="1726"/>
        <w:gridCol w:w="109"/>
        <w:gridCol w:w="211"/>
        <w:gridCol w:w="466"/>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158"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derivative contracts are measured at fair value using models based on observable market inputs such as foreign currency exchange rates and interest rates; therefore, they are classified within Level 2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fair value disclosure requirements related to financial instruments carried at fair value, accounting standards require disclosures regarding the fair value of all of the Company's financial instruments.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estimated fair value of long-term debt at June 30, 2026 and December 31, 2025</w:t>
      </w:r>
      <w:r>
        <w:rPr>
          <w:rFonts w:ascii="Times New Roman;serif" w:hAnsi="Times New Roman;serif"/>
          <w:b w:val="false"/>
          <w:color w:val="000000"/>
          <w:sz w:val="20"/>
          <w:shd w:fill="FFFFFF" w:val="clear"/>
        </w:rPr>
        <w:t>, w</w:t>
      </w:r>
      <w:r>
        <w:rPr>
          <w:rFonts w:ascii="Times New Roman;serif" w:hAnsi="Times New Roman;serif"/>
          <w:b w:val="false"/>
          <w:color w:val="000000"/>
          <w:sz w:val="20"/>
        </w:rPr>
        <w:t xml:space="preserve">as $2,593,030 and $2,652,750, respectively. The estimated fair value of long-term debt is based on quoted market prices for similar instruments and is, therefore, classified as Level 2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trade receivables, accounts payable, and current portion of long-term debt approximate their fair values as of June 30, 2026 and December 31, 2025 due to the short-term nature of these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u w:val="single"/>
        </w:rPr>
        <w:t>12. Income Taxes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months ended June 30, 2026 and 2025 were 19.4% and 20.4%, respectively. The decrease in the effective tax rate for the three months ended June 30, 2026 relative to the prior year comparable period was primarily driven by an internal reorganization in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tax rates for the six months ended June 30, 2026 and 2025 were 19.7% and 19.8%,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Dover and its subsidiaries file tax returns in the U.S., including various state and local returns, and in other foreign jurisdictions. The Company is routinely audited by taxing authorities in its filing jurisdictions, and a number of these audits are currently underway. We believe adequate provision has been made for all income tax uncertainties.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13. Equity Incentive Program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typically makes its annual grants of equity awards pursuant to actions taken by the Compensation Committee of the Board of Directors at its regularly scheduled first quarter meeting. During the six months ended June 30, 2026, the Company issued stock-settled appreciation rights ("SARs") covering 266,199 shares, performance share awards ("PSAs") of 32,294 and restricted stock units ("RSUs") of 56,039. During the six months ended June 30, 2025, the Company issued SARs covering 283,082 shares, PSAs of 34,458 and RSUs of 57,625.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used in determining the fair value of the SARs awarded during the respective periods were as follows:</w:t>
      </w:r>
    </w:p>
    <w:tbl>
      <w:tblPr>
        <w:tblW w:w="5144" w:type="dxa"/>
        <w:jc w:val="left"/>
        <w:tblInd w:w="0" w:type="dxa"/>
        <w:tblLayout w:type="fixed"/>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33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SARs</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price</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PSAs granted in 2026 and 2025 vest based on the attainment of two equally weighted measures: (i) Dover’s performance relative to established internal metrics (performance condition) and (ii) Dover's performance relative to its peer group (companies listed under the S&amp;P 500 Industrials sector; market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grant date fair value per share of the 2026 and 2025 PSAs' performance condition portion were $231.63 and $202.33,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grant date fair value of the 2026 and 2025 market condition portion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 </w:t>
      </w:r>
    </w:p>
    <w:tbl>
      <w:tblPr>
        <w:tblW w:w="5144" w:type="dxa"/>
        <w:jc w:val="left"/>
        <w:tblInd w:w="0" w:type="dxa"/>
        <w:tblLayout w:type="fixed"/>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33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PSAs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price</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$318.38</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and vesting period for all 2026 and 2025 PSAs is three years.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granted RSUs, and the fair value of these awards was determined using Dover's closing stock price on the date of grant, which was $231.63 and $202.33 for RSUs granted in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is reported within selling, general and administrative expenses in the condensed consolidated statements of earnings. The following table summarizes the Company’s compensation expense relating to all stock-based incentive plans:</w:t>
      </w:r>
    </w:p>
    <w:tbl>
      <w:tblPr>
        <w:tblW w:w="9708" w:type="dxa"/>
        <w:jc w:val="left"/>
        <w:tblInd w:w="0" w:type="dxa"/>
        <w:tblLayout w:type="fixed"/>
        <w:tblCellMar>
          <w:top w:w="28" w:type="dxa"/>
          <w:left w:w="28" w:type="dxa"/>
          <w:bottom w:w="28" w:type="dxa"/>
          <w:right w:w="28" w:type="dxa"/>
        </w:tblCellMar>
      </w:tblPr>
      <w:tblGrid>
        <w:gridCol w:w="1560"/>
        <w:gridCol w:w="1369"/>
        <w:gridCol w:w="1376"/>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stock-based compensation expense</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tax</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14. Commitments and Contingent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June 30, 2026 and December 31, 2025, these estimated liabilities for environmental and other matters, including private party claims for exposure to hazardous substances that are probable and estimable, were not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estimated liabilities for these other legal matters that are probable and estimable, and at June 30, 2026 and December 31, 2025,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also Note 4 — Discontinued and Disposed Operations for details on litigation related to a discontinued operation.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Warranty Accruals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June 30, 2026 and 2025, were as follows:</w:t>
      </w:r>
    </w:p>
    <w:tbl>
      <w:tblPr>
        <w:tblW w:w="7974" w:type="dxa"/>
        <w:jc w:val="left"/>
        <w:tblInd w:w="0" w:type="dxa"/>
        <w:tblLayout w:type="fixed"/>
        <w:tblCellMar>
          <w:top w:w="28" w:type="dxa"/>
          <w:left w:w="28" w:type="dxa"/>
          <w:bottom w:w="28" w:type="dxa"/>
          <w:right w:w="28" w:type="dxa"/>
        </w:tblCellMar>
      </w:tblPr>
      <w:tblGrid>
        <w:gridCol w:w="1994"/>
        <w:gridCol w:w="1759"/>
        <w:gridCol w:w="1767"/>
        <w:gridCol w:w="211"/>
        <w:gridCol w:w="721"/>
        <w:gridCol w:w="109"/>
        <w:gridCol w:w="109"/>
        <w:gridCol w:w="109"/>
        <w:gridCol w:w="109"/>
        <w:gridCol w:w="211"/>
        <w:gridCol w:w="721"/>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warranties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including acquisitions and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Supply Chain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payments related to Supply Chain Financing ("SCF") programs are recorded within accounts payable in our condensed consolidated balance sheets. Amounts due that are confirmed as valid to the SCF programs financial institutions as of June 30, 2026 and December 31, 2025 were approximately $135,801 and $117,884,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15. Accumulated Other Comprehensive Earnings (Loss)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earnings (loss) to earnings during the three and six months ended June 30, 2026 and 2025 were as follows: </w:t>
      </w:r>
    </w:p>
    <w:tbl>
      <w:tblPr>
        <w:tblW w:w="10205" w:type="dxa"/>
        <w:jc w:val="left"/>
        <w:tblInd w:w="0" w:type="dxa"/>
        <w:tblLayout w:type="fixed"/>
        <w:tblCellMar>
          <w:top w:w="28" w:type="dxa"/>
          <w:left w:w="28" w:type="dxa"/>
          <w:bottom w:w="28" w:type="dxa"/>
          <w:right w:w="28" w:type="dxa"/>
        </w:tblCellMar>
      </w:tblPr>
      <w:tblGrid>
        <w:gridCol w:w="1859"/>
        <w:gridCol w:w="1557"/>
        <w:gridCol w:w="1566"/>
        <w:gridCol w:w="242"/>
        <w:gridCol w:w="609"/>
        <w:gridCol w:w="125"/>
        <w:gridCol w:w="125"/>
        <w:gridCol w:w="125"/>
        <w:gridCol w:w="125"/>
        <w:gridCol w:w="242"/>
        <w:gridCol w:w="781"/>
        <w:gridCol w:w="125"/>
        <w:gridCol w:w="109"/>
        <w:gridCol w:w="109"/>
        <w:gridCol w:w="109"/>
        <w:gridCol w:w="213"/>
        <w:gridCol w:w="685"/>
        <w:gridCol w:w="109"/>
        <w:gridCol w:w="109"/>
        <w:gridCol w:w="109"/>
        <w:gridCol w:w="109"/>
        <w:gridCol w:w="213"/>
        <w:gridCol w:w="685"/>
        <w:gridCol w:w="165"/>
      </w:tblGrid>
      <w:tr>
        <w:trPr/>
        <w:tc>
          <w:tcPr>
            <w:tcW w:w="185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translation:</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foreign currency translation (gains) losses to earnings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plans:</w:t>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credits </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Settlement and curtailment costs</w:t>
            </w:r>
            <w:r>
              <w:rPr>
                <w:rFonts w:ascii="Times New Roman;serif" w:hAnsi="Times New Roman;serif"/>
                <w:b w:val="false"/>
                <w:color w:val="000000"/>
                <w:sz w:val="12"/>
              </w:rPr>
              <w:t>(1)</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provision</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hedges:</w:t>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reclassified into earnings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(benefit)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loss from discontinued operations, net in the condensed consolidated statement of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amortization of net actuarial gains and losses and prior service costs and credits in other income, net within the condensed consolidated statements of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hedges consist mainly of foreign currency forward contracts. The Company recognizes the realized gains and losses on its cash flow hedges in the same line item as the hedged transaction, such as revenue or cost of goods and services. </w:t>
      </w:r>
    </w:p>
    <w:p>
      <w:pPr>
        <w:pStyle w:val="TextBody"/>
        <w:bidi w:val="0"/>
        <w:spacing w:before="0" w:after="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16.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in making resource allocation decisions and evaluating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five reportable segments are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Engineered Products segment provides a wide range of equipment, components, software, solutions and services to the vehicle aftermarket, aerospace and defense, industrial winch and hoist, precision soldering and fluid dispensing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Climate &amp; Sustainability Technologies segment is a provider of innovative and energy-efficient equipment, components, solutions, services and parts for the commercial refrigeration, heating and cooling and beverage can-making equipment end-markets.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uses segment earnings to evaluate segment performance and allocate resources. Segment earnings is defined as earnings before purchase accounting expenses, restructuring and other costs (benefits), (gain) loss on dispositions, corporate expenses/other, interest expense, interest income and provision for income taxes.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financial information and a reconciliation of segment results to consolidated results were as follows:</w:t>
      </w:r>
    </w:p>
    <w:tbl>
      <w:tblPr>
        <w:tblW w:w="10205" w:type="dxa"/>
        <w:jc w:val="left"/>
        <w:tblInd w:w="0" w:type="dxa"/>
        <w:tblLayout w:type="fixed"/>
        <w:tblCellMar>
          <w:top w:w="28" w:type="dxa"/>
          <w:left w:w="28" w:type="dxa"/>
          <w:bottom w:w="28" w:type="dxa"/>
          <w:right w:w="28" w:type="dxa"/>
        </w:tblCellMar>
      </w:tblPr>
      <w:tblGrid>
        <w:gridCol w:w="1509"/>
        <w:gridCol w:w="1180"/>
        <w:gridCol w:w="119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56"/>
      </w:tblGrid>
      <w:tr>
        <w:trPr/>
        <w:tc>
          <w:tcPr>
            <w:tcW w:w="15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Adjusted cost of goods and services</w:t>
            </w:r>
            <w:r>
              <w:rPr>
                <w:rFonts w:ascii="Times New Roman;serif" w:hAnsi="Times New Roman;serif"/>
                <w:b/>
                <w:color w:val="000000"/>
                <w:sz w:val="20"/>
              </w:rPr>
              <w:t>:</w:t>
            </w:r>
            <w:r>
              <w:rPr>
                <w:rFonts w:ascii="Times New Roman;serif" w:hAnsi="Times New Roman;serif"/>
                <w:b/>
                <w:color w:val="000000"/>
                <w:sz w:val="13"/>
              </w:rPr>
              <w:t>(1)</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segment cost of goods and services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Adjusted selling, general and administrative expenses</w:t>
            </w:r>
            <w:r>
              <w:rPr>
                <w:rFonts w:ascii="Times New Roman;serif" w:hAnsi="Times New Roman;serif"/>
                <w:b/>
                <w:color w:val="000000"/>
                <w:sz w:val="20"/>
              </w:rPr>
              <w:t>:</w:t>
            </w:r>
            <w:r>
              <w:rPr>
                <w:rFonts w:ascii="Times New Roman;serif" w:hAnsi="Times New Roman;serif"/>
                <w:b/>
                <w:color w:val="000000"/>
                <w:sz w:val="13"/>
              </w:rPr>
              <w:t>(2)</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segment 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Earnings from continuing operations: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accounting expenses </w:t>
            </w:r>
            <w:r>
              <w:rPr>
                <w:rFonts w:ascii="Times New Roman;serif" w:hAnsi="Times New Roman;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costs </w:t>
            </w:r>
            <w:r>
              <w:rPr>
                <w:rFonts w:ascii="Times New Roman;serif" w:hAnsi="Times New Roman;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dispositions </w:t>
            </w:r>
            <w:r>
              <w:rPr>
                <w:rFonts w:ascii="Times New Roman;serif" w:hAnsi="Times New Roman;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 / other </w:t>
            </w:r>
            <w:r>
              <w:rPr>
                <w:rFonts w:ascii="Times New Roman;serif" w:hAnsi="Times New Roman;serif"/>
                <w:b w:val="false"/>
                <w:color w:val="000000"/>
                <w:sz w:val="13"/>
              </w:rPr>
              <w:t>(6)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continuing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Adjusted cost of goods and services exclude expenses related to purchase accounting and restructuring and other costs.</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Adjusted selling, general and administrative expenses exclude expenses related to purchase accounting, restructuring and other costs, and gain on dispositions and include other income, net.</w:t>
      </w:r>
    </w:p>
    <w:p>
      <w:pPr>
        <w:pStyle w:val="TextBody"/>
        <w:bidi w:val="0"/>
        <w:spacing w:lineRule="auto" w:line="288"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Purchase accounting expenses are primarily comprised of amortization of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Restructuring and other costs relate to actions taken for headcount reductions, facility consolidations and site closures, product line exits, and other asset charges. Restructuring and other costs consist of the following:</w:t>
      </w:r>
    </w:p>
    <w:tbl>
      <w:tblPr>
        <w:tblW w:w="7564" w:type="dxa"/>
        <w:jc w:val="left"/>
        <w:tblInd w:w="0" w:type="dxa"/>
        <w:tblLayout w:type="fixed"/>
        <w:tblCellMar>
          <w:top w:w="28" w:type="dxa"/>
          <w:left w:w="28" w:type="dxa"/>
          <w:bottom w:w="28" w:type="dxa"/>
          <w:right w:w="28" w:type="dxa"/>
        </w:tblCellMar>
      </w:tblPr>
      <w:tblGrid>
        <w:gridCol w:w="792"/>
        <w:gridCol w:w="696"/>
        <w:gridCol w:w="701"/>
        <w:gridCol w:w="230"/>
        <w:gridCol w:w="761"/>
        <w:gridCol w:w="128"/>
        <w:gridCol w:w="128"/>
        <w:gridCol w:w="128"/>
        <w:gridCol w:w="128"/>
        <w:gridCol w:w="230"/>
        <w:gridCol w:w="761"/>
        <w:gridCol w:w="128"/>
        <w:gridCol w:w="109"/>
        <w:gridCol w:w="109"/>
        <w:gridCol w:w="109"/>
        <w:gridCol w:w="209"/>
        <w:gridCol w:w="690"/>
        <w:gridCol w:w="116"/>
        <w:gridCol w:w="116"/>
        <w:gridCol w:w="116"/>
        <w:gridCol w:w="116"/>
        <w:gridCol w:w="209"/>
        <w:gridCol w:w="690"/>
        <w:gridCol w:w="16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costs, net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24,635 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23,210 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61,430 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32,607 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Gain on dispositions, including post-closing adjustments.</w:t>
      </w:r>
    </w:p>
    <w:p>
      <w:pPr>
        <w:pStyle w:val="TextBody"/>
        <w:bidi w:val="0"/>
        <w:spacing w:lineRule="auto" w:line="288" w:before="0" w:after="0"/>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71"/>
        <w:gridCol w:w="1390"/>
        <w:gridCol w:w="1383"/>
        <w:gridCol w:w="367"/>
        <w:gridCol w:w="223"/>
        <w:gridCol w:w="461"/>
        <w:gridCol w:w="146"/>
        <w:gridCol w:w="146"/>
        <w:gridCol w:w="146"/>
        <w:gridCol w:w="367"/>
        <w:gridCol w:w="223"/>
        <w:gridCol w:w="461"/>
        <w:gridCol w:w="109"/>
        <w:gridCol w:w="109"/>
        <w:gridCol w:w="109"/>
        <w:gridCol w:w="336"/>
        <w:gridCol w:w="306"/>
        <w:gridCol w:w="475"/>
        <w:gridCol w:w="137"/>
        <w:gridCol w:w="137"/>
        <w:gridCol w:w="137"/>
        <w:gridCol w:w="336"/>
        <w:gridCol w:w="234"/>
        <w:gridCol w:w="596"/>
      </w:tblGrid>
      <w:tr>
        <w:trPr/>
        <w:tc>
          <w:tcPr>
            <w:tcW w:w="187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earnings margins: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Depreciation and amortization:</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depreciation and amortization:</w:t>
            </w:r>
            <w:r>
              <w:rPr>
                <w:rFonts w:ascii="Times New Roman;serif" w:hAnsi="Times New Roman;serif"/>
                <w:b w:val="false"/>
                <w:color w:val="000000"/>
                <w:sz w:val="13"/>
              </w:rPr>
              <w:t>(7)</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25,732</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14,930</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depreciation and amortization</w:t>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76,464</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depreciation and amortization</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included in purchase accounting expenses and restructuring and other</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101,647</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depreciation and amortization total</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96,812</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194,233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181,801</w:t>
            </w:r>
          </w:p>
        </w:tc>
      </w:tr>
    </w:tbl>
    <w:p>
      <w:pPr>
        <w:pStyle w:val="TextBody"/>
        <w:bidi w:val="0"/>
        <w:spacing w:lineRule="auto" w:line="288" w:before="0" w:after="0"/>
        <w:jc w:val="both"/>
        <w:rPr/>
      </w:pPr>
      <w:r>
        <w:rPr>
          <w:rFonts w:ascii="Times New Roman;serif" w:hAnsi="Times New Roman;serif"/>
          <w:b w:val="false"/>
          <w:color w:val="000000"/>
          <w:sz w:val="12"/>
        </w:rPr>
        <w:t xml:space="preserve">(7) </w:t>
      </w:r>
      <w:r>
        <w:rPr>
          <w:rFonts w:ascii="Times New Roman;serif" w:hAnsi="Times New Roman;serif"/>
          <w:b w:val="false"/>
          <w:color w:val="000000"/>
          <w:sz w:val="18"/>
        </w:rPr>
        <w:t>Other depreciation and amortization relates to property, plant, and equipment and intangibles, and excludes amounts related to purchase accounting expenses and restructuring and other costs.</w:t>
      </w:r>
    </w:p>
    <w:p>
      <w:pPr>
        <w:pStyle w:val="TextBody"/>
        <w:bidi w:val="0"/>
        <w:spacing w:before="0" w:after="0"/>
        <w:jc w:val="both"/>
        <w:rPr/>
      </w:pPr>
      <w:r>
        <w:rPr/>
      </w:r>
    </w:p>
    <w:tbl>
      <w:tblPr>
        <w:tblW w:w="8910" w:type="dxa"/>
        <w:jc w:val="left"/>
        <w:tblInd w:w="0" w:type="dxa"/>
        <w:tblLayout w:type="fixed"/>
        <w:tblCellMar>
          <w:top w:w="28" w:type="dxa"/>
          <w:left w:w="28" w:type="dxa"/>
          <w:bottom w:w="28" w:type="dxa"/>
          <w:right w:w="28" w:type="dxa"/>
        </w:tblCellMar>
      </w:tblPr>
      <w:tblGrid>
        <w:gridCol w:w="1195"/>
        <w:gridCol w:w="1048"/>
        <w:gridCol w:w="1056"/>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Selected financial information by segment (continued):</w:t>
      </w:r>
    </w:p>
    <w:p>
      <w:pPr>
        <w:pStyle w:val="TextBody"/>
        <w:bidi w:val="0"/>
        <w:spacing w:before="0" w:after="0"/>
        <w:jc w:val="both"/>
        <w:rPr/>
      </w:pPr>
      <w:r>
        <w:rPr/>
      </w:r>
    </w:p>
    <w:tbl>
      <w:tblPr>
        <w:tblW w:w="6797" w:type="dxa"/>
        <w:jc w:val="left"/>
        <w:tblInd w:w="0" w:type="dxa"/>
        <w:tblLayout w:type="fixed"/>
        <w:tblCellMar>
          <w:top w:w="28" w:type="dxa"/>
          <w:left w:w="28" w:type="dxa"/>
          <w:bottom w:w="28" w:type="dxa"/>
          <w:right w:w="28" w:type="dxa"/>
        </w:tblCellMar>
      </w:tblPr>
      <w:tblGrid>
        <w:gridCol w:w="1190"/>
        <w:gridCol w:w="1049"/>
        <w:gridCol w:w="1061"/>
        <w:gridCol w:w="211"/>
        <w:gridCol w:w="1081"/>
        <w:gridCol w:w="109"/>
        <w:gridCol w:w="109"/>
        <w:gridCol w:w="109"/>
        <w:gridCol w:w="109"/>
        <w:gridCol w:w="258"/>
        <w:gridCol w:w="1323"/>
        <w:gridCol w:w="188"/>
      </w:tblGrid>
      <w:tr>
        <w:trPr/>
        <w:tc>
          <w:tcPr>
            <w:tcW w:w="119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Total assets: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1,091,594 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3,607,567 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3,479,147 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8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(8)</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13,694,216 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13,422,423 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(8) </w:t>
      </w:r>
      <w:r>
        <w:rPr>
          <w:rFonts w:ascii="Times New Roman;serif" w:hAnsi="Times New Roman;serif"/>
          <w:b w:val="false"/>
          <w:color w:val="000000"/>
          <w:sz w:val="18"/>
        </w:rPr>
        <w:t xml:space="preserve">Corporate assets are comprised primarily of cash and cash equivalents.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disaggregated by geography based on the location of the Company's customers:</w:t>
      </w:r>
    </w:p>
    <w:tbl>
      <w:tblPr>
        <w:tblW w:w="9304" w:type="dxa"/>
        <w:jc w:val="left"/>
        <w:tblInd w:w="0" w:type="dxa"/>
        <w:tblLayout w:type="fixed"/>
        <w:tblCellMar>
          <w:top w:w="28" w:type="dxa"/>
          <w:left w:w="28" w:type="dxa"/>
          <w:bottom w:w="28" w:type="dxa"/>
          <w:right w:w="28" w:type="dxa"/>
        </w:tblCellMar>
      </w:tblPr>
      <w:tblGrid>
        <w:gridCol w:w="765"/>
        <w:gridCol w:w="674"/>
        <w:gridCol w:w="676"/>
        <w:gridCol w:w="211"/>
        <w:gridCol w:w="976"/>
        <w:gridCol w:w="109"/>
        <w:gridCol w:w="109"/>
        <w:gridCol w:w="109"/>
        <w:gridCol w:w="109"/>
        <w:gridCol w:w="211"/>
        <w:gridCol w:w="976"/>
        <w:gridCol w:w="109"/>
        <w:gridCol w:w="109"/>
        <w:gridCol w:w="109"/>
        <w:gridCol w:w="150"/>
        <w:gridCol w:w="150"/>
        <w:gridCol w:w="150"/>
        <w:gridCol w:w="150"/>
        <w:gridCol w:w="290"/>
        <w:gridCol w:w="1344"/>
        <w:gridCol w:w="150"/>
        <w:gridCol w:w="109"/>
        <w:gridCol w:w="109"/>
        <w:gridCol w:w="109"/>
        <w:gridCol w:w="211"/>
        <w:gridCol w:w="97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68" w:type="dxa"/>
            <w:gridSpan w:val="6"/>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Revenue by geography:</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2,360,107 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2,169,853 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4,243,644 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3,915,651 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U.S. was the largest geographical market for revenue for the Engineered Products, Clean Energy &amp; Fueling, Pumps &amp; Process Solutions, and Climate &amp; Sustainability Technologies segments, and Europe was the largest market for the Imaging &amp; Identification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17.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2023, the Company's Board of Directors approved a new standing share repurchase authorization whereby the Company may repurchase up to 20 million shares beginning on January 1, 2024 through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10, 2025, the Company entered into a $500,000 accelerated share repurchase agreement (the "ASR Agreement") with JPMorgan Chase Bank, N.A. ("JPMorgan") to repurchase its shares in an accelerated share repurchase program (the "ASR Program"). The ASR Program is classified as equity, initially recorded at fair value with no subsequent remeasurement. The Company conducted the ASR Program under the current share repurchase authorization. The Company funded the ASR Program with cash on hand.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ASR Agreement, the Company paid JPMorgan $500,000 on November 12, 2025, and on that date received initial delivery of 2,334,010 shares, representing a substantial majority of the shares expected to be retired over the course of the ASR Program. In April 2026, JPMorgan delivered 153,652 additional shares which completed the ASR Program, totaling 2,487,662 repurchased shares under the ASR Agreement. The total number of shares repurchased under the ASR Agreement was based on the average of the daily volume-weighted average share price of Dover's common stock during the calculation period of the ASR Program, less a discount, which was $200.99 over the term of the ASR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and 2025, exclusive of the ASR Agreement, there were no share repurchases. In the six months ended June 30, 2026 and 2025, exclusive of the ASR Agreement, the Company repurchased 250,000 shares at a total cost of $53,937, or $215.75 per share and 200,000 shares at a total cost of $40,700, or $203.50 per share,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14,193,056 shares remain authorized for repurchase under the August 2023 share repurchase authorization.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18.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the information used in computing basic and diluted earnings per share:</w:t>
      </w:r>
    </w:p>
    <w:tbl>
      <w:tblPr>
        <w:tblW w:w="9476" w:type="dxa"/>
        <w:jc w:val="left"/>
        <w:tblInd w:w="0" w:type="dxa"/>
        <w:tblLayout w:type="fixed"/>
        <w:tblCellMar>
          <w:top w:w="28" w:type="dxa"/>
          <w:left w:w="28" w:type="dxa"/>
          <w:bottom w:w="28" w:type="dxa"/>
          <w:right w:w="28" w:type="dxa"/>
        </w:tblCellMar>
      </w:tblPr>
      <w:tblGrid>
        <w:gridCol w:w="1185"/>
        <w:gridCol w:w="1041"/>
        <w:gridCol w:w="1044"/>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29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135,553,000 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share amounts used in computing earnings per share:</w:t>
      </w:r>
    </w:p>
    <w:tbl>
      <w:tblPr>
        <w:tblW w:w="10205" w:type="dxa"/>
        <w:jc w:val="left"/>
        <w:tblInd w:w="0" w:type="dxa"/>
        <w:tblLayout w:type="fixed"/>
        <w:tblCellMar>
          <w:top w:w="28" w:type="dxa"/>
          <w:left w:w="28" w:type="dxa"/>
          <w:bottom w:w="28" w:type="dxa"/>
          <w:right w:w="28" w:type="dxa"/>
        </w:tblCellMar>
      </w:tblPr>
      <w:tblGrid>
        <w:gridCol w:w="1233"/>
        <w:gridCol w:w="1067"/>
        <w:gridCol w:w="1071"/>
        <w:gridCol w:w="827"/>
        <w:gridCol w:w="359"/>
        <w:gridCol w:w="175"/>
        <w:gridCol w:w="175"/>
        <w:gridCol w:w="175"/>
        <w:gridCol w:w="175"/>
        <w:gridCol w:w="827"/>
        <w:gridCol w:w="359"/>
        <w:gridCol w:w="175"/>
        <w:gridCol w:w="109"/>
        <w:gridCol w:w="109"/>
        <w:gridCol w:w="109"/>
        <w:gridCol w:w="733"/>
        <w:gridCol w:w="453"/>
        <w:gridCol w:w="163"/>
        <w:gridCol w:w="163"/>
        <w:gridCol w:w="163"/>
        <w:gridCol w:w="163"/>
        <w:gridCol w:w="733"/>
        <w:gridCol w:w="453"/>
        <w:gridCol w:w="236"/>
      </w:tblGrid>
      <w:tr>
        <w:trPr/>
        <w:tc>
          <w:tcPr>
            <w:tcW w:w="123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134,759,000 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137,226,000 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134,869,000 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137,261,000 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assumed exercise of SARs and vesting of performance shares and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135,553,000 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137,974,000 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135,725,000 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138,132,000 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anti-dilutive potential common shares excluded from the calculation above were approximately 46,000 and 61,000 for the three months ended June 30, 2026 and 2025, respectively and 53,000 and 51,000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19. 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No. 2026-02, Environmental Credits and Environmental Credit Obligations, which provides specific guidelines for the recognition, measurement, presentation, and disclosure requirements of environmental credits and environmental credit obligations. The amendments are effective for fiscal years beginning after December 15, 2027, and interim periods within those annual reporting periods. Early adoption is permitted. The Company is currently evaluating this ASU to determine its impact on the Company's disclosures.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The Company adopted the guidance during the fourth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Instruments—Credit Losses (Topic 326): Measurement of Credit Losses for Accounts Receivable and Contract Assets, which provides entities the option of a practical expedient in the estimation of credit losses. The amendments are effective for fiscal years beginning after December 15, 2025, and interim periods within those annual reporting periods. Early adoption is permitted. The Company adopted the guidance as of January 1, 2026. The adoption did not have a material impact on the Company's condensed consolidated financial statements. See Note 7 — Credit Losses 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which changes the requirements for when entities may begin capitalizing costs for internal-use software. The amendments are effective for fiscal years beginning after December 15, 2027, and interim reporting periods within those annual reporting periods. Early adoption is permitted as of the beginning of an annual reporting period. The Company adopted the guidance on January 1, 2026. The adoption did not have a material impact on the Company's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2. Management’s Discussion and Analysis of Financial Condition and Results</w:t>
      </w:r>
      <w:r>
        <w:rPr>
          <w:color w:val="000000"/>
        </w:rPr>
        <w:t xml:space="preserve"> </w:t>
      </w:r>
      <w:r>
        <w:rPr>
          <w:rFonts w:ascii="Times New Roman;serif" w:hAnsi="Times New Roman;serif"/>
          <w:b/>
          <w:color w:val="000000"/>
          <w:sz w:val="20"/>
        </w:rPr>
        <w:t>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section below entitled "Special Note Regarding Forward-Looking Statements" for a discussion of factors that could cause our actual results to differ from the forward-looking statements contained below and throughout this quarterly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Dover's five operating segments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Engineered Products segment provides a wide range of equipment, components, software, solutions and services to the vehicle aftermarket, aerospace and defense, industrial winch and hoist, precision soldering and fluid dispensing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Climate &amp; Sustainability Technologies segment is a provider of innovative and energy-efficient equipment, components, solutions, services and parts for the commercial refrigeration, heating and cooling and beverage can-making equipment end-markets.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revenue was $2.2 billion, which increased $140.4 million, or 6.9%, as compared to the second quarter of 2025. This increase was driven by organic revenue growth of 4.8%, acquisition-related revenue growth of 1.2%, and a favorable impact from foreign currency translation of 0.9%. Revenue growth was primarily led by robust demand in our secular-growth-exposed end markets as well as broad-based, constructive trading conditions across most of our businesses. The acquisition-related growth was primarily driven by our acquisitions in the Pumps &amp; Process Solutions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4.8% organic revenue growth for the second quarter of 2026 was driven by increases across all of our segments. For further information, see "Segment Results of Operations" within this Item 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a geographic perspective, organic revenue for the U.S., our largest market, increased 7.9% in the second quarter of 2026 compared to the prior year comparable quarter, primarily driven by an increase in organic revenue in the Clean Energy &amp; Fueling, Climate &amp; Sustainability Technologies, and Pumps &amp; Process Solutions segments. Organic revenue increased for the Other Americas and Asia by 8.8% and 8.5%, respectively, and decreased for Europe and all other geographic markets by 5.0%, and 0.9%,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Bookings were $2.3 billion for the three months ended June 30, 2026, an increase of $322.8 million or 16.1% compared to the prior year comparable quarter. Bookings increased across all segments and most notably in the Climate &amp; Sustainability Technologies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and other costs for the three months ended June 30, 2026 were $24.6 million, which included restructuring charges of $17.0 million and other costs of $7.6 million. Restructuring and other costs were primarily related to headcount reductions and exit costs in the Climate &amp; Sustainability Technologies and Engineered Products segments. For further discussion related to our restructuring and other costs, see "Restructuring and Other Costs (Benefits)," within this Item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received a total of 153,652 shares upon completion of the $500.0 million accelerated repurchase program (the "ASR Program"), totaling 2,487,662. The total number of shares repurchased was based on the average of the daily volume-weighted average share price of Dover's common stock during the calculation period of the ASR Program, less a discount, which was $200.99.</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CONSOLIDATED RESULTS OF OPERATIONS</w:t>
      </w:r>
    </w:p>
    <w:tbl>
      <w:tblPr>
        <w:tblW w:w="10886" w:type="dxa"/>
        <w:jc w:val="left"/>
        <w:tblInd w:w="0" w:type="dxa"/>
        <w:tblLayout w:type="fixed"/>
        <w:tblCellMar>
          <w:top w:w="28" w:type="dxa"/>
          <w:left w:w="28" w:type="dxa"/>
          <w:bottom w:w="28" w:type="dxa"/>
          <w:right w:w="28" w:type="dxa"/>
        </w:tblCellMar>
      </w:tblPr>
      <w:tblGrid>
        <w:gridCol w:w="664"/>
        <w:gridCol w:w="320"/>
        <w:gridCol w:w="322"/>
        <w:gridCol w:w="211"/>
        <w:gridCol w:w="976"/>
        <w:gridCol w:w="271"/>
        <w:gridCol w:w="109"/>
        <w:gridCol w:w="109"/>
        <w:gridCol w:w="109"/>
        <w:gridCol w:w="211"/>
        <w:gridCol w:w="976"/>
        <w:gridCol w:w="271"/>
        <w:gridCol w:w="109"/>
        <w:gridCol w:w="109"/>
        <w:gridCol w:w="109"/>
        <w:gridCol w:w="326"/>
        <w:gridCol w:w="200"/>
        <w:gridCol w:w="501"/>
        <w:gridCol w:w="109"/>
        <w:gridCol w:w="109"/>
        <w:gridCol w:w="109"/>
        <w:gridCol w:w="211"/>
        <w:gridCol w:w="976"/>
        <w:gridCol w:w="271"/>
        <w:gridCol w:w="109"/>
        <w:gridCol w:w="109"/>
        <w:gridCol w:w="109"/>
        <w:gridCol w:w="211"/>
        <w:gridCol w:w="976"/>
        <w:gridCol w:w="271"/>
        <w:gridCol w:w="109"/>
        <w:gridCol w:w="109"/>
        <w:gridCol w:w="109"/>
        <w:gridCol w:w="333"/>
        <w:gridCol w:w="193"/>
        <w:gridCol w:w="560"/>
      </w:tblGrid>
      <w:tr>
        <w:trPr/>
        <w:tc>
          <w:tcPr>
            <w:tcW w:w="6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figures)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3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4,243,644 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3,915,651 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2,564,903 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1,563,762 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margin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as a percent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(0.2)</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647,478 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common share from continuing operations -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three months ended June 30, 2026 increased $140.4 million, or 6.9%, from the prior year comparable quarter. The increase in revenue was driven by organic revenue growth of 4.8%, with organic growth across all five segments, acquisition-related growth of 1.2%, and a favorable impact from foreign currency translation of 0.9%. Customer pricing favorably impacted revenue by approximately 2.2% in the second quarter of 2026 and by 1.9%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six months ended June 30, 2026 increased $328.0 million, or 8.4%, from the prior year comparable period. The increase in revenue was driven by organic revenue growth of 5.0%, primarily in our Clean Energy &amp; Fueling and Climate &amp; Sustainability Technologies segments, a favorable impact from foreign currency translation of 1.9%, and acquisition-related growth of 1.5%, primarily in our Pumps &amp; Process Solutions segment. Customer pricing favorably impacted revenue by approximately 2.0% for the six months ended June 30, 2026 and by 1.6% in the prior year comparable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2026 increased $62.3 million, or 7.6%, and gross profit margin increased 30 basis points to 40.2%, versus the prior year comparable quarter. The gross profit margin increase was primarily driven by favorable price versus cost dynamics, operating leverage from volume growth and benefits from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six months ended June 30, 2026 increased $115.0 million, or 7.4%, and gross profit margin decreased by 30 basis points to 39.6%, from the prior year comparable period. The gross profit margin decrease was due to an unfavorable portfolio mix, partially offset by productivity initiatives and benefits from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June 30, 2026 increased $25.2 million, or 5.4%, from the prior year comparable quarter, primarily due to increases in employee compensation and benefits. As a percentage of revenue, selling, general and administrative expenses decreased 30 basis points as compared to the prior year comparable quarter to 22.3%.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June 30, 2026 increased $68.2 million, or 7.5%, from the prior year comparable period, primarily due to increased employee compensation and benefits. Selling, general and administrative expenses as a percentage of revenue decreased 20 basis points as compared to the prior year comparable period to 23.1%.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including qualifying engineering costs, are expensed when incurred and amounted to $40.4 million and $40.8 million for the three months ended June 30, 2026 and 2025, respectively, and $80.0 million and $78.3 million for the six months ended June 30, 2026 and 2025, respectively. The costs as a percentage of revenue were 1.8% and 1.9% for the three and six months ended June 30, 2026, respectively, and 2.0% for both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Non-Operating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interest expense, net of interest income, increased $5.7 million, or 64.1%, to $14.5 million and $13.8 million, or 85.1%, to $30.0 million, respectively, compared to the prior year comparable period. The increases were primarily due to lower interest income from redemption of highly liquid short-term investments and higher interest expense incurred from the issuance of the €550.0 million 3.50% euro-denominated notes in the fourth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months ended June 30, 2026 and 2025 were 19.4% and 20.4%, respectively. The decrease in the effective tax rate for the three months ended June 30, 2026 relative to the prior year comparable quarter was primarily driven by an internal reorganization in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six months ended June 30, 2026 and 2025 were 19.7% and 19.8%,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was enacted into law, introducing changes to the U.S. tax code, including making permanent certain provisions originally enacted under the Tax Cuts and Jobs Act, such as 100% bonus depreciation and the immediate expensing of domestic research and development costs. The changes do not have a material impact to our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continuing to monitor the changes in tax laws resulting from the Organization for Economic Cooperation and Development’s multi-jurisdictional plan of action to address base erosion and profit shifting. We do not expect this to have a material impact on our effective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Earnings from Continuing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Earnings from continuing operations for the three months ended June 30, 2026 increased 11.6%</w:t>
      </w:r>
      <w:r>
        <w:rPr>
          <w:color w:val="000000"/>
        </w:rPr>
        <w:t xml:space="preserve"> </w:t>
      </w:r>
      <w:r>
        <w:rPr>
          <w:rFonts w:ascii="Times New Roman;serif" w:hAnsi="Times New Roman;serif"/>
          <w:b w:val="false"/>
          <w:color w:val="000000"/>
          <w:sz w:val="20"/>
        </w:rPr>
        <w:t xml:space="preserve">to $312.5 million, or $2.31 diluted earnings per share from continuing operations, compared to $280.1 million, or $2.03 diluted earnings per share from continuing operations in the prior year comparable quarter. The increase in earnings from continuing operations was driven by higher operating earnings primarily as a result of strong revenue growth, favorable price versus cost dynamics, and benefits from restructuring actions, partially offset by an increase in employee compensation and benefits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Earnings from continuing operations for the six months ended June 30, 2026 increased 6.1% to $551.3 million, or $4.06 diluted earnings per share from continuing operations, from $519.4 million, or $3.76 diluted earnings per share from continuing operations, in the prior year comparable period. The increase in earnings from continuing operations is driven by strong revenue growth in the current period partially offset by unfavorable portfolio mix, and increases in employee compensation and benefits expense and interest expense,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SEGMENT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summary that follows provides a discussion of the results of operations of each of our five reportable operating segments (Engineered Products, Clean Energy &amp; Fueling, Imaging &amp; Identification, Pumps &amp; Process Solutions, and Climate &amp; Sustainability Technologies).</w:t>
      </w:r>
      <w:r>
        <w:rPr>
          <w:color w:val="000000"/>
          <w:shd w:fill="FFFFFF" w:val="clear"/>
        </w:rPr>
        <w:t xml:space="preserve"> </w:t>
      </w:r>
      <w:r>
        <w:rPr>
          <w:rFonts w:ascii="Times New Roman;serif" w:hAnsi="Times New Roman;serif"/>
          <w:b w:val="false"/>
          <w:color w:val="000000"/>
          <w:sz w:val="20"/>
          <w:shd w:fill="FFFFFF" w:val="clear"/>
        </w:rPr>
        <w:t>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report organic revenue growth (a non-GAAP measure) which excludes the impact of foreign currency exchange rates and the impact of acquisitions and divestitures. We believe that reporting organic revenue growth provides a useful comparison of our revenue performance and trends between periods. See "Non-GAAP Disclosures" at the end of this Item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use the following operational metrics in monitoring the performance of the business. We believe the operational metrics are useful to investors and other users of our financial information in assessing the performance of our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Bookings represent total orders received from customers in the current reporting period and exclude de-bookings related to orders received in prior periods, if any. This metric is an important measure of performance and an indicator of order trends.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Book-to-bill is a ratio of the amount of bookings received from customers during a period divided by the amount of revenue recorded during that same period. This metric is a useful indicator of demand.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Engineered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Engineered Products segment provides a wide range of equipment, components, software, solutions and services to the vehicle aftermarket, aerospace and defense, industrial winch and hoist, precision soldering and fluid dispensing end-markets.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6"/>
        <w:gridCol w:w="496"/>
        <w:gridCol w:w="499"/>
        <w:gridCol w:w="109"/>
        <w:gridCol w:w="109"/>
        <w:gridCol w:w="109"/>
        <w:gridCol w:w="211"/>
        <w:gridCol w:w="826"/>
        <w:gridCol w:w="109"/>
        <w:gridCol w:w="109"/>
        <w:gridCol w:w="109"/>
        <w:gridCol w:w="109"/>
        <w:gridCol w:w="211"/>
        <w:gridCol w:w="826"/>
        <w:gridCol w:w="109"/>
        <w:gridCol w:w="109"/>
        <w:gridCol w:w="109"/>
        <w:gridCol w:w="109"/>
        <w:gridCol w:w="220"/>
        <w:gridCol w:w="220"/>
        <w:gridCol w:w="551"/>
        <w:gridCol w:w="109"/>
        <w:gridCol w:w="109"/>
        <w:gridCol w:w="109"/>
        <w:gridCol w:w="211"/>
        <w:gridCol w:w="826"/>
        <w:gridCol w:w="109"/>
        <w:gridCol w:w="109"/>
        <w:gridCol w:w="109"/>
        <w:gridCol w:w="109"/>
        <w:gridCol w:w="211"/>
        <w:gridCol w:w="826"/>
        <w:gridCol w:w="109"/>
        <w:gridCol w:w="109"/>
        <w:gridCol w:w="109"/>
        <w:gridCol w:w="109"/>
        <w:gridCol w:w="211"/>
        <w:gridCol w:w="211"/>
        <w:gridCol w:w="615"/>
      </w:tblGrid>
      <w:tr>
        <w:trPr/>
        <w:tc>
          <w:tcPr>
            <w:tcW w:w="63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Second Quarter 2026 Compared to the Second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Engineered Products revenue for the second quarter of 2026 increased $7.5 million, or 2.7%, as compared to the second quarter of 2025, driven by organic growth of 2.1% and a favorable impact from foreign currency translation of 0.6%. Customer pricing favorably impacted revenue by approximately 3.0% in the second quarter of 2026 and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organic revenue growth was primarily driven by pricing actions and solid demand trends in aerospace and defense components, fluid dispensing, and industrial winches, partially offset by lower vehicle service demand in Europe. The growth outlook is favorable for the second half of the year as we expect stable volumes in vehicle services and constructive demand conditions across key end markets, most notably in aerospace and defense.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Engineered Products segment earnings increased $4.3 million, or 8.0%, compared to the second quarter of 2025. The increase was primarily driven by pricing actions, volume leverage, productivity initiatives and carry-over benefits from restructuring actions taken in 2025, partially offset by inflationary impacts, and lower vehicle service volume. Segment earnings margin increased to 20.4% from 19.4% as compared to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bookings increased 0.2% as compared to the prior year comparable quarter. The bookings increase was driven by strength in our aerospace and defense business and precision soldering and fluid dispensing demand. Segment book-to-bill was 0.98.</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Engineered Products revenue for the six months ended June 30, 2026 increased $19.5 million, or 3.7%, compared to the prior year comparable period. This was comprised of organic revenue growth of 2.1% and a favorable impact from foreign currency translation of 1.6%. The organic revenue growth was primarily driven by pricing actions and solid demand trends in aerospace and defense components, fluid dispensing, and industrial winches, partially offset by lower vehicle service demand in Europe. Customer pricing favorably impacted revenue by approximately 2.6% and by 2.1% in the prior year comparable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earnings for the six months ended June 30, 2026 increased $5.2 million, or 5.3%, as compared to the 2025 comparable period. The increase was primarily driven by pricing actions, productivity initiatives and carry-over benefits from restructuring actions taken in 2025, partially offset by inflationary impacts and lower volumes in vehicle service. Segment earnings margin increased to 18.7% from 18.4% as compared to the prior year comparable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Clean Energy &amp; Fueling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7"/>
        <w:gridCol w:w="311"/>
        <w:gridCol w:w="312"/>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211"/>
        <w:gridCol w:w="976"/>
        <w:gridCol w:w="109"/>
        <w:gridCol w:w="109"/>
        <w:gridCol w:w="109"/>
        <w:gridCol w:w="109"/>
        <w:gridCol w:w="211"/>
        <w:gridCol w:w="976"/>
        <w:gridCol w:w="109"/>
        <w:gridCol w:w="109"/>
        <w:gridCol w:w="109"/>
        <w:gridCol w:w="109"/>
        <w:gridCol w:w="255"/>
        <w:gridCol w:w="256"/>
        <w:gridCol w:w="616"/>
      </w:tblGrid>
      <w:tr>
        <w:trPr/>
        <w:tc>
          <w:tcPr>
            <w:tcW w:w="5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Second Quarter 2026 Compared to the Second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Clean Energy &amp; Fueling revenue for the second quarter of 2026 increased $48.9 million, or 8.9%, as compared to the second quarter of 2025, driven by organic growth of 8.6%, a favorable foreign currency translation impact of 0.2% and acquisition-related growth of 0.1%. Acquisition-related growth was driven by the acquisition of Site IQ, LLC in the third quarter of 2025. Customer pricing favorably impacted revenue in the second quarter of 2026 by approximately 2.9% and by 1.7%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organic revenue growth was primarily driven by pricing actions and favorable demand trends in our above and below-ground retail fueling and clean energy components businesses. We expect positive demand trends to continue in the second half of the year driven by a favorable demand outlook across major end markets.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Clean Energy &amp; Fueling segment earnings increased $20.8 million, or 19.3%, over the prior year comparable quarter. The increase was primarily driven by volume growth, productivity actions and favorable price versus cost dynamics</w:t>
      </w:r>
      <w:r>
        <w:rPr>
          <w:rFonts w:ascii="Times New Roman;serif" w:hAnsi="Times New Roman;serif"/>
          <w:b w:val="false"/>
          <w:color w:val="000000"/>
          <w:sz w:val="20"/>
          <w:shd w:fill="FFFFFF" w:val="clear"/>
        </w:rPr>
        <w:t>. Segment earnings margin increased to 21.6% from 19.7% as compared to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bookings increased 14.4% as compared to the prior year comparable quarter. The bookings increase was primarily driven by demand in clean energy components and above and below-ground retail fueling. Segment book-to-bill was 1.01.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Clean Energy &amp; Fueling segment revenue increased $112.5 million, or 10.8%, as compared to the six months ended June 30, 2025, attributable to organic growth of 9.8%, a favorable foreign currency translation impact of 0.9% and acquisition-related growth of 0.1%. Organic revenue growth was driven by pricing actions and strong demand in our above and below-ground retail fueling and clean energy components businesses. Customer pricing favorably impacted revenue by approximately 2.5% and by approximately 1.5% in the prior year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Clean Energy &amp; Fueling segment earnings increased $34.2 million or 17.7%, for the six months ended June 30, 2026. The increase was primarily driven by volume growth, productivity actions and favorable price versus cost dynamics</w:t>
      </w:r>
      <w:r>
        <w:rPr>
          <w:rFonts w:ascii="Times New Roman;serif" w:hAnsi="Times New Roman;serif"/>
          <w:b w:val="false"/>
          <w:color w:val="000000"/>
          <w:sz w:val="20"/>
          <w:shd w:fill="FFFFFF" w:val="clear"/>
        </w:rPr>
        <w:t xml:space="preserve">. Segment earnings margin increased to 19.8% from 18.6% in the prior year comparable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Imaging &amp; Identification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8"/>
        <w:gridCol w:w="465"/>
        <w:gridCol w:w="467"/>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211"/>
        <w:gridCol w:w="826"/>
        <w:gridCol w:w="109"/>
        <w:gridCol w:w="109"/>
        <w:gridCol w:w="109"/>
        <w:gridCol w:w="109"/>
        <w:gridCol w:w="211"/>
        <w:gridCol w:w="826"/>
        <w:gridCol w:w="109"/>
        <w:gridCol w:w="109"/>
        <w:gridCol w:w="109"/>
        <w:gridCol w:w="109"/>
        <w:gridCol w:w="221"/>
        <w:gridCol w:w="221"/>
        <w:gridCol w:w="615"/>
      </w:tblGrid>
      <w:tr>
        <w:trPr/>
        <w:tc>
          <w:tcPr>
            <w:tcW w:w="6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Second Quarter 2026 Compared to the Second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revenue for the second quarter of 2026 increased $13.1 million, or 4.5%, as compared to the second quarter of 2025, driven by organic revenue growth of 2.9% and a favorable impact from foreign currency translation of 1.6%. Customer pricing favorably impacted revenue in the second quarter of 2026 by approximately 0.6% and by approximately 4.1%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organic revenue growth was primarily driven by growth in demand for core marking and coding equipment and serialization software. We expect constructive demand trends to continue in the second half of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segment earnings increased $8.0 million, or 10.4%, over the prior year comparable quarter. The increase was primarily driven by volume growth, favorable price versus cost dynamics and productivity initiatives. Segment earnings margin increased to 27.9% from 26.3%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bookings increased 3.7% as compared to the prior year comparable quarter. The bookings increase was primarily driven by order strength in our core marking and coding business. Segment book-to-bill was 0.99.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segment revenue increased $18.4 million, or 3.2%, as compared to the six months ended June 30, 2025, attributable to a favorable impact from foreign currency translation of 3.3%, partially offset by an organic decline of 0.1%. The organic revenue decline was primarily due to shipment timing for marking and coding equipment, partially offset by pricing actions. Customer pricing favorably impacted revenue by approximately 0.9% and 3.2% in the prior year comparable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segment earnings increased $7.9 million, or 5.1%, for the six months ended June 30, 2026 over the prior year comparable period. The increase was primarily driven by pricing actions and productivity initiatives, partially offset by lower volumes and inflationary costs. Segment earnings margin increased to 27.5% from 27.0% in the prior year comparable period.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Pumps &amp; Process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7"/>
        <w:gridCol w:w="311"/>
        <w:gridCol w:w="312"/>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211"/>
        <w:gridCol w:w="976"/>
        <w:gridCol w:w="109"/>
        <w:gridCol w:w="109"/>
        <w:gridCol w:w="109"/>
        <w:gridCol w:w="109"/>
        <w:gridCol w:w="211"/>
        <w:gridCol w:w="976"/>
        <w:gridCol w:w="109"/>
        <w:gridCol w:w="109"/>
        <w:gridCol w:w="109"/>
        <w:gridCol w:w="109"/>
        <w:gridCol w:w="255"/>
        <w:gridCol w:w="256"/>
        <w:gridCol w:w="616"/>
      </w:tblGrid>
      <w:tr>
        <w:trPr/>
        <w:tc>
          <w:tcPr>
            <w:tcW w:w="5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Second Quarter 2026 Compared to the Second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revenue for the second quarter of 2026 increased $32.2 million, or 6.2%, as compared to the second quarter of 2025, driven by acquisition-related growth of 4.9%, a favorable impact from foreign currency translation of 0.9% and an organic revenue growth of 0.4%. Acquisition-related growth was driven by the acquisitions of Sikora AG and ipp Pump Products GmbH in the second quarter of 2025. Customer pricing favorably impacted revenue in the second quarter of 2026 by approximately 1.5% and by approximately 1.7%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organic revenue growth was primarily driven by robust demand for products used in electrification and power generation infrastructure, single-use biopharma components, and industrial pumps, partially offset by anticipated revenue declines in our polymer processing solutions business as customers continue to focus on optimizing the significant capacity investments made over the last several years. We expect the organic growth to trend positively in the second half of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segment earnings increased $19.3 million, or 12.1%, over the prior year comparable quarter. The increase was driven by favorable price versus cost dynamics, positive portfolio mix and the impact from acquisitions, partially offset by lower volumes in our polymer processing solutions business. Segment earnings margin increased to 32.4% from 30.6%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bookings increased 11.3% as compared to the prior year comparable quarter. The bookings increase was primarily driven by positive demand trends in the biopharmaceutical end market, as well as the favorable impact from acquisitions. Segment book-to-bill was 1.07.</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segment revenue increased $76.4 million, or 7.5%, as compared to the six months ended June 30, 2025, attributable to acquisition-related growth of 5.9% for the acquisitions of Sikora AG and ipp Pump Products GmbH in the second quarter of 2025 and a favorable impact from foreign currency translation of 1.8%, partially offset by an organic decline of 0.2%. The organic decline was primarily due to expected declines in our polymer processing solutions business, offset by products used in electrification and power generation infrastructure, single-use biopharma components, and industrial pumps. Customer pricing favorably impacted revenue by approximately 1.5% in both the first half of 2026 and in the prior year comparable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segment earnings increased $37.6 million, or 12.1%, for the six months ended June 30, 2026 over the prior year comparable period. The increase was driven by favorable price versus cost dynamics, positive portfolio mix and the impact from acquisitions, partially offset by lower volumes in our polymer processing solutions business. Segment earnings margin increased to 31.9% from 30.6% from the prior year comparable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Climate &amp; Sustainability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Climate &amp; Sustainability Technologies segment is a provider of innovative and energy-efficient equipment, components, solutions, services and parts for the commercial refrigeration, heating and cooling and beverage can-making equipment end-markets.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0"/>
        <w:gridCol w:w="365"/>
        <w:gridCol w:w="366"/>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211"/>
        <w:gridCol w:w="976"/>
        <w:gridCol w:w="109"/>
        <w:gridCol w:w="109"/>
        <w:gridCol w:w="109"/>
        <w:gridCol w:w="109"/>
        <w:gridCol w:w="211"/>
        <w:gridCol w:w="826"/>
        <w:gridCol w:w="109"/>
        <w:gridCol w:w="109"/>
        <w:gridCol w:w="109"/>
        <w:gridCol w:w="109"/>
        <w:gridCol w:w="255"/>
        <w:gridCol w:w="256"/>
        <w:gridCol w:w="615"/>
      </w:tblGrid>
      <w:tr>
        <w:trPr/>
        <w:tc>
          <w:tcPr>
            <w:tcW w:w="59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Second Quarter 2026 Compared to the Second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Climate &amp; Sustainability Technologies revenue increased $38.9 million, or 9.4%, as compared to the second quarter of 2025, driven by organic revenue growth of 8.3% and a favorable impact from foreign currency translation of 1.1%. Customer pricing favorably impacted revenue in the second quarter of 2026 by approximately 2.6% and by approximately 0.2% in the prior year comparable quarter.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organic revenue growth was primarily driven by continued strong demand in 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refrigerant systems and growth in refrigerated door case volumes, as well as accelerating demand for heat exchangers used in data center cooling and other applications. We expect organic growth trends to remain constructive in the second half of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Climate &amp; Sustainability Technologies segment earnings decreased $1.4 million, or 1.9%, over the prior year comparable quarter. The decrease in segment earnings was primarily due to costs relating to the timing of footprint consolidation projects and production ramp costs in retail refrigeration, partially offset by the favorable impact from higher volumes. Segment earnings margin decreased to 16.7% from 18.6% in the prior year comparable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Bookings in the second quarter of 2026 increased 45.8% from the prior year comparable quarter. The bookings increase was primarily driven by demand strength in retail refrigeration and heat exchangers, including longer lead-time orders. Segment book-to-bill was 1.23.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Climate &amp; Sustainability Technologies segment revenue increased $102.1 million, or 13.4%, compared to the six months ended June 30, 2025, reflecting organic revenue growth of 11.5%, and a favorable foreign currency translation impact of 1.9%. The organic revenue growth for the six months ended June 30, 2026 was driven by favorable demand trends in retail refrigeration and heat exchanger applications. Customer pricing favorably impacted revenue by approximately 2.3% and 0.2% in the prior year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Climate &amp; Sustainability Technologies segment earnings increased $10.4 million, or 8.1%, for the six months ended June 30, 2026, as compared to the prior year comparable period. The earnings increase was primarily driven by the favorable impact from higher volumes and the favorable mix impact from 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refrigerant systems growth in retail refrigeration, partially offset by costs relating to the timing of footprint consolidation projects and production ramp costs in retail refrigeration. Segment earnings margin decreased to 16.1% from 16.9% in the prior year comparable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Reconciliation of Segment Earnings to Earnings from Continuing Operations</w:t>
      </w:r>
    </w:p>
    <w:tbl>
      <w:tblPr>
        <w:tblW w:w="9213" w:type="dxa"/>
        <w:jc w:val="left"/>
        <w:tblInd w:w="0" w:type="dxa"/>
        <w:tblLayout w:type="fixed"/>
        <w:tblCellMar>
          <w:top w:w="28" w:type="dxa"/>
          <w:left w:w="28" w:type="dxa"/>
          <w:bottom w:w="28" w:type="dxa"/>
          <w:right w:w="28" w:type="dxa"/>
        </w:tblCellMar>
      </w:tblPr>
      <w:tblGrid>
        <w:gridCol w:w="1303"/>
        <w:gridCol w:w="1147"/>
        <w:gridCol w:w="1149"/>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from Continuing Operations: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Segment earnings: </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accounting expenses </w:t>
            </w:r>
            <w:r>
              <w:rPr>
                <w:rFonts w:ascii="Times New Roman;serif" w:hAnsi="Times New Roman;serif"/>
                <w:b w:val="false"/>
                <w:color w:val="000000"/>
                <w:sz w:val="13"/>
              </w:rPr>
              <w:t>(1)</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costs </w:t>
            </w:r>
            <w:r>
              <w:rPr>
                <w:rFonts w:ascii="Times New Roman;serif" w:hAnsi="Times New Roman;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dispositions </w:t>
            </w:r>
            <w:r>
              <w:rPr>
                <w:rFonts w:ascii="Times New Roman;serif" w:hAnsi="Times New Roman;serif"/>
                <w:b w:val="false"/>
                <w:color w:val="000000"/>
                <w:sz w:val="13"/>
              </w:rPr>
              <w:t>(3)</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 / other </w:t>
            </w:r>
            <w:r>
              <w:rPr>
                <w:rFonts w:ascii="Times New Roman;serif" w:hAnsi="Times New Roman;serif"/>
                <w:b w:val="false"/>
                <w:color w:val="000000"/>
                <w:sz w:val="13"/>
              </w:rPr>
              <w:t>(4)</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Purchase accounting expenses are primarily comprised of amortization of acquired intangible assets.</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Restructuring and other costs relate to actions taken for headcount reductions, facility consolidations and site closures, product line exits, and other asset charges.</w:t>
      </w:r>
    </w:p>
    <w:p>
      <w:pPr>
        <w:pStyle w:val="TextBody"/>
        <w:bidi w:val="0"/>
        <w:spacing w:lineRule="auto" w:line="288"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Gain on dispositions, including post-closing adjustments. </w:t>
      </w:r>
    </w:p>
    <w:p>
      <w:pPr>
        <w:pStyle w:val="TextBody"/>
        <w:bidi w:val="0"/>
        <w:spacing w:lineRule="auto" w:line="288" w:before="0" w:after="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Restructuring and Other Costs (Benefits)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Restructuring and other costs are not presented in our segment earnings because these costs are excluded from the segment operating performance measure reviewed by management. During the three and six months ended June 30, 2026, we incurred restructuring charges of $17.0 million and $47.2 million</w:t>
      </w:r>
      <w:r>
        <w:rPr>
          <w:color w:val="000000"/>
        </w:rPr>
        <w:t xml:space="preserve"> </w:t>
      </w:r>
      <w:r>
        <w:rPr>
          <w:rFonts w:ascii="Times New Roman;serif" w:hAnsi="Times New Roman;serif"/>
          <w:b w:val="false"/>
          <w:color w:val="000000"/>
          <w:sz w:val="20"/>
        </w:rPr>
        <w:t>and other costs, net of $7.6 million and $14.2 million, respectively. Restructuring charges for the three and six months ended June 30, 2026 were primarily related to headcount reductions and exit costs in the Climate &amp; Sustainability Technologies, Pumps &amp; Process Solutions, Clean Energy &amp; Fueling and Engineered Products segments. These restructuring programs were initiated in 2025 and 2026 and the Company will continue to make proactive adjustments to its cost structure to align with current demand trends. Other costs, net of $7.6 million and $14.2 million for the three and six months ended June 30, 2026 include $4.3 million and $7.3 million, respectively,</w:t>
      </w:r>
      <w:r>
        <w:rPr>
          <w:color w:val="000000"/>
        </w:rPr>
        <w:t xml:space="preserve"> </w:t>
      </w:r>
      <w:r>
        <w:rPr>
          <w:rFonts w:ascii="Times New Roman;serif" w:hAnsi="Times New Roman;serif"/>
          <w:b w:val="false"/>
          <w:color w:val="000000"/>
          <w:sz w:val="20"/>
        </w:rPr>
        <w:t>in costs associated with a footprint reduction in our Climate &amp; Sustainability Technologies segment. These restructuring and other charges were recorded in cost of goods and services and selling, general and administrative expenses in the condensed consolidated statements of earnings. Additional programs beyond the scope of the announced programs may be implemented during 2026 with related restructuring and other cost charges.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the following restructuring and other costs for the three and six months ended June 30, 2026:</w:t>
      </w:r>
    </w:p>
    <w:tbl>
      <w:tblPr>
        <w:tblW w:w="10360" w:type="dxa"/>
        <w:jc w:val="left"/>
        <w:tblInd w:w="0" w:type="dxa"/>
        <w:tblLayout w:type="fixed"/>
        <w:tblCellMar>
          <w:top w:w="28" w:type="dxa"/>
          <w:left w:w="28" w:type="dxa"/>
          <w:bottom w:w="28" w:type="dxa"/>
          <w:right w:w="28" w:type="dxa"/>
        </w:tblCellMar>
      </w:tblPr>
      <w:tblGrid>
        <w:gridCol w:w="418"/>
        <w:gridCol w:w="367"/>
        <w:gridCol w:w="296"/>
        <w:gridCol w:w="222"/>
        <w:gridCol w:w="630"/>
        <w:gridCol w:w="124"/>
        <w:gridCol w:w="109"/>
        <w:gridCol w:w="109"/>
        <w:gridCol w:w="109"/>
        <w:gridCol w:w="198"/>
        <w:gridCol w:w="562"/>
        <w:gridCol w:w="111"/>
        <w:gridCol w:w="109"/>
        <w:gridCol w:w="109"/>
        <w:gridCol w:w="109"/>
        <w:gridCol w:w="304"/>
        <w:gridCol w:w="862"/>
        <w:gridCol w:w="170"/>
        <w:gridCol w:w="109"/>
        <w:gridCol w:w="109"/>
        <w:gridCol w:w="109"/>
        <w:gridCol w:w="198"/>
        <w:gridCol w:w="562"/>
        <w:gridCol w:w="111"/>
        <w:gridCol w:w="109"/>
        <w:gridCol w:w="109"/>
        <w:gridCol w:w="109"/>
        <w:gridCol w:w="281"/>
        <w:gridCol w:w="927"/>
        <w:gridCol w:w="158"/>
        <w:gridCol w:w="109"/>
        <w:gridCol w:w="109"/>
        <w:gridCol w:w="109"/>
        <w:gridCol w:w="205"/>
        <w:gridCol w:w="581"/>
        <w:gridCol w:w="115"/>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costs,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520" w:type="dxa"/>
        <w:jc w:val="left"/>
        <w:tblInd w:w="0" w:type="dxa"/>
        <w:tblLayout w:type="fixed"/>
        <w:tblCellMar>
          <w:top w:w="28" w:type="dxa"/>
          <w:left w:w="28" w:type="dxa"/>
          <w:bottom w:w="28" w:type="dxa"/>
          <w:right w:w="28" w:type="dxa"/>
        </w:tblCellMar>
      </w:tblPr>
      <w:tblGrid>
        <w:gridCol w:w="418"/>
        <w:gridCol w:w="367"/>
        <w:gridCol w:w="296"/>
        <w:gridCol w:w="222"/>
        <w:gridCol w:w="630"/>
        <w:gridCol w:w="124"/>
        <w:gridCol w:w="109"/>
        <w:gridCol w:w="109"/>
        <w:gridCol w:w="109"/>
        <w:gridCol w:w="196"/>
        <w:gridCol w:w="646"/>
        <w:gridCol w:w="109"/>
        <w:gridCol w:w="109"/>
        <w:gridCol w:w="109"/>
        <w:gridCol w:w="109"/>
        <w:gridCol w:w="304"/>
        <w:gridCol w:w="862"/>
        <w:gridCol w:w="170"/>
        <w:gridCol w:w="109"/>
        <w:gridCol w:w="109"/>
        <w:gridCol w:w="109"/>
        <w:gridCol w:w="196"/>
        <w:gridCol w:w="646"/>
        <w:gridCol w:w="109"/>
        <w:gridCol w:w="109"/>
        <w:gridCol w:w="109"/>
        <w:gridCol w:w="109"/>
        <w:gridCol w:w="281"/>
        <w:gridCol w:w="927"/>
        <w:gridCol w:w="158"/>
        <w:gridCol w:w="109"/>
        <w:gridCol w:w="109"/>
        <w:gridCol w:w="109"/>
        <w:gridCol w:w="205"/>
        <w:gridCol w:w="581"/>
        <w:gridCol w:w="115"/>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Restructuring and other costs for the three and six months ended June 30, 2025 include restructuring charges of $13.5 million and $21.8 million</w:t>
      </w:r>
      <w:r>
        <w:rPr>
          <w:color w:val="000000"/>
        </w:rPr>
        <w:t xml:space="preserve"> </w:t>
      </w:r>
      <w:r>
        <w:rPr>
          <w:rFonts w:ascii="Times New Roman;serif" w:hAnsi="Times New Roman;serif"/>
          <w:b w:val="false"/>
          <w:color w:val="000000"/>
          <w:sz w:val="20"/>
        </w:rPr>
        <w:t xml:space="preserve">and other costs, net of $9.7 million and $10.8 million. Restructuring charges for the three and six months ended June 30, 2025 were primarily related to exit costs and headcount reductions in the Climate &amp; Sustainability Technologies, Pumps &amp; Process Solutions and Clean Energy &amp; Fueling segments. These restructuring programs were initiated in 2024 and 2025 and were undertaken in light of current market conditions. Other costs, net of $9.7 million and $10.8 million for the three and six months ended June 30, 2025 primarily relate to $4.0 million in costs associated with a product line exit in our Climate &amp; Sustainability Technologies segment. These restructuring and other charges were recorded in cost of goods and services and selling, general and administrative expenses in the condensed consolidated statement of earnings.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recorded the following restructuring and other costs for the three and six months</w:t>
      </w:r>
      <w:r>
        <w:rPr>
          <w:color w:val="000000"/>
          <w:shd w:fill="FFFFFF" w:val="clear"/>
        </w:rPr>
        <w:t xml:space="preserve"> </w:t>
      </w:r>
      <w:r>
        <w:rPr>
          <w:rFonts w:ascii="Times New Roman;serif" w:hAnsi="Times New Roman;serif"/>
          <w:b w:val="false"/>
          <w:color w:val="000000"/>
          <w:sz w:val="20"/>
          <w:shd w:fill="FFFFFF" w:val="clear"/>
        </w:rPr>
        <w:t>ended June 30, 2025</w:t>
      </w:r>
      <w:r>
        <w:rPr>
          <w:rFonts w:ascii="Times New Roman;serif" w:hAnsi="Times New Roman;serif"/>
          <w:b w:val="false"/>
          <w:color w:val="000000"/>
          <w:sz w:val="20"/>
        </w:rPr>
        <w:t>:</w:t>
      </w:r>
    </w:p>
    <w:tbl>
      <w:tblPr>
        <w:tblW w:w="10360" w:type="dxa"/>
        <w:jc w:val="left"/>
        <w:tblInd w:w="0" w:type="dxa"/>
        <w:tblLayout w:type="fixed"/>
        <w:tblCellMar>
          <w:top w:w="28" w:type="dxa"/>
          <w:left w:w="28" w:type="dxa"/>
          <w:bottom w:w="28" w:type="dxa"/>
          <w:right w:w="28" w:type="dxa"/>
        </w:tblCellMar>
      </w:tblPr>
      <w:tblGrid>
        <w:gridCol w:w="418"/>
        <w:gridCol w:w="367"/>
        <w:gridCol w:w="296"/>
        <w:gridCol w:w="263"/>
        <w:gridCol w:w="565"/>
        <w:gridCol w:w="148"/>
        <w:gridCol w:w="109"/>
        <w:gridCol w:w="109"/>
        <w:gridCol w:w="109"/>
        <w:gridCol w:w="198"/>
        <w:gridCol w:w="562"/>
        <w:gridCol w:w="111"/>
        <w:gridCol w:w="109"/>
        <w:gridCol w:w="109"/>
        <w:gridCol w:w="109"/>
        <w:gridCol w:w="360"/>
        <w:gridCol w:w="774"/>
        <w:gridCol w:w="202"/>
        <w:gridCol w:w="109"/>
        <w:gridCol w:w="109"/>
        <w:gridCol w:w="109"/>
        <w:gridCol w:w="198"/>
        <w:gridCol w:w="562"/>
        <w:gridCol w:w="111"/>
        <w:gridCol w:w="109"/>
        <w:gridCol w:w="109"/>
        <w:gridCol w:w="109"/>
        <w:gridCol w:w="281"/>
        <w:gridCol w:w="927"/>
        <w:gridCol w:w="158"/>
        <w:gridCol w:w="109"/>
        <w:gridCol w:w="109"/>
        <w:gridCol w:w="109"/>
        <w:gridCol w:w="205"/>
        <w:gridCol w:w="581"/>
        <w:gridCol w:w="115"/>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costs (benefits), net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360" w:type="dxa"/>
        <w:jc w:val="left"/>
        <w:tblInd w:w="0" w:type="dxa"/>
        <w:tblLayout w:type="fixed"/>
        <w:tblCellMar>
          <w:top w:w="28" w:type="dxa"/>
          <w:left w:w="28" w:type="dxa"/>
          <w:bottom w:w="28" w:type="dxa"/>
          <w:right w:w="28" w:type="dxa"/>
        </w:tblCellMar>
      </w:tblPr>
      <w:tblGrid>
        <w:gridCol w:w="418"/>
        <w:gridCol w:w="367"/>
        <w:gridCol w:w="296"/>
        <w:gridCol w:w="222"/>
        <w:gridCol w:w="630"/>
        <w:gridCol w:w="124"/>
        <w:gridCol w:w="109"/>
        <w:gridCol w:w="109"/>
        <w:gridCol w:w="109"/>
        <w:gridCol w:w="198"/>
        <w:gridCol w:w="562"/>
        <w:gridCol w:w="111"/>
        <w:gridCol w:w="109"/>
        <w:gridCol w:w="109"/>
        <w:gridCol w:w="109"/>
        <w:gridCol w:w="304"/>
        <w:gridCol w:w="862"/>
        <w:gridCol w:w="170"/>
        <w:gridCol w:w="109"/>
        <w:gridCol w:w="109"/>
        <w:gridCol w:w="109"/>
        <w:gridCol w:w="198"/>
        <w:gridCol w:w="562"/>
        <w:gridCol w:w="111"/>
        <w:gridCol w:w="109"/>
        <w:gridCol w:w="109"/>
        <w:gridCol w:w="109"/>
        <w:gridCol w:w="281"/>
        <w:gridCol w:w="927"/>
        <w:gridCol w:w="158"/>
        <w:gridCol w:w="109"/>
        <w:gridCol w:w="109"/>
        <w:gridCol w:w="109"/>
        <w:gridCol w:w="205"/>
        <w:gridCol w:w="581"/>
        <w:gridCol w:w="115"/>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costs (benefits),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 Accounting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 accounting expenses primarily relate to amortization of acquired intangible assets. These expenses are not presented in our segment earnings because they are excluded from the segment operating performance measure reviewed by management. These expenses reconcile to segment earnings as follows:</w:t>
      </w:r>
    </w:p>
    <w:tbl>
      <w:tblPr>
        <w:tblW w:w="8910" w:type="dxa"/>
        <w:jc w:val="left"/>
        <w:tblInd w:w="0" w:type="dxa"/>
        <w:tblLayout w:type="fixed"/>
        <w:tblCellMar>
          <w:top w:w="28" w:type="dxa"/>
          <w:left w:w="28" w:type="dxa"/>
          <w:bottom w:w="28" w:type="dxa"/>
          <w:right w:w="28" w:type="dxa"/>
        </w:tblCellMar>
      </w:tblPr>
      <w:tblGrid>
        <w:gridCol w:w="1194"/>
        <w:gridCol w:w="1051"/>
        <w:gridCol w:w="1054"/>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Accounting Expenses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Clean Energy &amp; Fueling </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611" w:type="dxa"/>
            <w:gridSpan w:val="2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upcoming debt maturities and for reinvestment in existing businesses and strategic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derived from our condensed consolidated statements of cash flows:</w:t>
      </w:r>
    </w:p>
    <w:tbl>
      <w:tblPr>
        <w:tblW w:w="6413" w:type="dxa"/>
        <w:jc w:val="left"/>
        <w:tblInd w:w="0" w:type="dxa"/>
        <w:tblLayout w:type="fixed"/>
        <w:tblCellMar>
          <w:top w:w="28" w:type="dxa"/>
          <w:left w:w="28" w:type="dxa"/>
          <w:bottom w:w="28" w:type="dxa"/>
          <w:right w:w="28" w:type="dxa"/>
        </w:tblCellMar>
      </w:tblPr>
      <w:tblGrid>
        <w:gridCol w:w="1358"/>
        <w:gridCol w:w="1192"/>
        <w:gridCol w:w="1199"/>
        <w:gridCol w:w="211"/>
        <w:gridCol w:w="826"/>
        <w:gridCol w:w="109"/>
        <w:gridCol w:w="109"/>
        <w:gridCol w:w="109"/>
        <w:gridCol w:w="109"/>
        <w:gridCol w:w="211"/>
        <w:gridCol w:w="826"/>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Flows from Operations </w:t>
            </w:r>
            <w:r>
              <w:rPr>
                <w:rFonts w:ascii="Times New Roman;serif" w:hAnsi="Times New Roman;serif"/>
                <w:b w:val="false"/>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in):</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 from operating activities for the six months ended June 30, 2026 increased by $57.4 million compared to June 30, 2025, primarily driven by higher operating earnings during the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Working Capital: </w:t>
      </w:r>
      <w:r>
        <w:rPr>
          <w:rFonts w:ascii="Times New Roman;serif" w:hAnsi="Times New Roman;serif"/>
          <w:b w:val="false"/>
          <w:color w:val="000000"/>
          <w:sz w:val="20"/>
        </w:rPr>
        <w:t xml:space="preserve">We believe adjusted working capital (a non-GAAP measure calculated as receivables, plus inventory, less accounts payable) provides a meaningful measure of liquidity by showing changes caused by operational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calculation of adjusted working capital:</w:t>
      </w:r>
    </w:p>
    <w:p>
      <w:pPr>
        <w:pStyle w:val="TextBody"/>
        <w:bidi w:val="0"/>
        <w:spacing w:before="0" w:after="0"/>
        <w:jc w:val="both"/>
        <w:rPr/>
      </w:pPr>
      <w:r>
        <w:rPr/>
      </w:r>
    </w:p>
    <w:tbl>
      <w:tblPr>
        <w:tblW w:w="7274" w:type="dxa"/>
        <w:jc w:val="left"/>
        <w:tblInd w:w="0" w:type="dxa"/>
        <w:tblLayout w:type="fixed"/>
        <w:tblCellMar>
          <w:top w:w="28" w:type="dxa"/>
          <w:left w:w="28" w:type="dxa"/>
          <w:bottom w:w="28" w:type="dxa"/>
          <w:right w:w="28" w:type="dxa"/>
        </w:tblCellMar>
      </w:tblPr>
      <w:tblGrid>
        <w:gridCol w:w="1287"/>
        <w:gridCol w:w="1132"/>
        <w:gridCol w:w="1135"/>
        <w:gridCol w:w="109"/>
        <w:gridCol w:w="211"/>
        <w:gridCol w:w="976"/>
        <w:gridCol w:w="109"/>
        <w:gridCol w:w="109"/>
        <w:gridCol w:w="109"/>
        <w:gridCol w:w="109"/>
        <w:gridCol w:w="281"/>
        <w:gridCol w:w="1299"/>
        <w:gridCol w:w="145"/>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Working Capital </w:t>
            </w: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1,371,352 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1,768,458 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working capital has increased by $219.4 million, or 12.4%, for the six months ended June 30, 2026, driven by an increase of $151.0 million in net receivables and an increase of $148.5 million in net inventory, partially offset by an increase in accounts payable of $80.1 million. These amounts include the effects of acquisitions and foreign currency translation. Accounts receivable increased compared to the prior year as a result of higher revenue generation during the period. Inventories increased to support higher volume deliveries expected over the next several quarters, as supported by the order book and in line with historical seasonality. These factors also led to an increase in accounts payable.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 from investing activities is derived from cash outflows for capital expenditures and acquisitions. The majority of the activity in investing activities was comprised of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Capital spending:</w:t>
      </w:r>
      <w:r>
        <w:rPr>
          <w:color w:val="000000"/>
        </w:rPr>
        <w:t xml:space="preserve"> </w:t>
      </w:r>
      <w:r>
        <w:rPr>
          <w:rFonts w:ascii="Times New Roman;serif" w:hAnsi="Times New Roman;serif"/>
          <w:b w:val="false"/>
          <w:color w:val="000000"/>
          <w:sz w:val="20"/>
        </w:rPr>
        <w:t>Capital expenditures decreased $1.5 million during the six months ended June 30, 2026, compared to the six months ended June 30, 2025, in line with our planned capital expenditures for the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Acquisitions:</w:t>
      </w:r>
      <w:r>
        <w:rPr>
          <w:color w:val="000000"/>
        </w:rPr>
        <w:t xml:space="preserve"> </w:t>
      </w:r>
      <w:r>
        <w:rPr>
          <w:rFonts w:ascii="Times New Roman;serif" w:hAnsi="Times New Roman;serif"/>
          <w:b w:val="false"/>
          <w:color w:val="000000"/>
          <w:sz w:val="20"/>
        </w:rPr>
        <w:t xml:space="preserve">During the six months ended June 30, 2026, we deployed approximately $0.7 million to acquire one business within the Engineered Products segment. In comparison, during the six months ended June 30, 2025, we deployed approximately $658.5 million, net to acquire three business within the Pumps &amp; Process Solutions segment. See Note 3 — Acquisitions in the condensed consolidated financial statements in Item 1 of this Form 10-Q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capital expenditures and any additional acquisitions we make through the remainder of 2026 will be funded from available cash and internally generated funds and, if necessary, through the issuance of commercial paper, or by accessing the public debt or equity markets. We estimate capital expenditures in 2026 to range from $190.0 million to $210.0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from financing activities generally relates to the use of cash for payment of dividends, purchases of our common stock, and cash payments related to the settlement of tax obligations for exercises of share-based awards. The majority of financing activity was attributed to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Repurchase of common stock: </w:t>
      </w:r>
      <w:r>
        <w:rPr>
          <w:rFonts w:ascii="Times New Roman;serif" w:hAnsi="Times New Roman;serif"/>
          <w:b w:val="false"/>
          <w:color w:val="000000"/>
          <w:sz w:val="20"/>
        </w:rPr>
        <w:t>During the six months ended June 30, 2026, the Company repurchased a total of 250,000 shares for $53.9 million. During the six months ended June 30, 2025, the Company repurchased a total of 200,000 shares for $40.7 million. See Note 17 — Stockholders' Equity in the condensed consolidated financial statements in Item 1 of this Form 10-Q for further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Dividend payments: </w:t>
      </w:r>
      <w:r>
        <w:rPr>
          <w:rFonts w:ascii="Times New Roman;serif" w:hAnsi="Times New Roman;serif"/>
          <w:b w:val="false"/>
          <w:color w:val="000000"/>
          <w:sz w:val="20"/>
        </w:rPr>
        <w:t>Total dividend payments to common shareholders were $140.4 million during the six months ended June 30, 2026, as compared to $142.0 million during the same period in 2025. Our dividends paid per common share increased 1.0% to $1.04 during the six months ended June 30, 2026 compared to $1.03 during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our free cash flow to cash flow provided by operating activities:</w:t>
      </w:r>
    </w:p>
    <w:tbl>
      <w:tblPr>
        <w:tblW w:w="10205" w:type="dxa"/>
        <w:jc w:val="left"/>
        <w:tblInd w:w="0" w:type="dxa"/>
        <w:tblLayout w:type="fixed"/>
        <w:tblCellMar>
          <w:top w:w="28" w:type="dxa"/>
          <w:left w:w="28" w:type="dxa"/>
          <w:bottom w:w="28" w:type="dxa"/>
          <w:right w:w="28" w:type="dxa"/>
        </w:tblCellMar>
      </w:tblPr>
      <w:tblGrid>
        <w:gridCol w:w="2618"/>
        <w:gridCol w:w="2296"/>
        <w:gridCol w:w="2301"/>
        <w:gridCol w:w="211"/>
        <w:gridCol w:w="826"/>
        <w:gridCol w:w="271"/>
        <w:gridCol w:w="109"/>
        <w:gridCol w:w="109"/>
        <w:gridCol w:w="109"/>
        <w:gridCol w:w="211"/>
        <w:gridCol w:w="826"/>
        <w:gridCol w:w="318"/>
      </w:tblGrid>
      <w:tr>
        <w:trPr/>
        <w:tc>
          <w:tcPr>
            <w:tcW w:w="261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Free Cash Flow</w:t>
            </w:r>
            <w:r>
              <w:rPr>
                <w:color w:val="000000"/>
              </w:rPr>
              <w:t xml:space="preserve"> </w:t>
            </w:r>
            <w:r>
              <w:rPr>
                <w:rFonts w:ascii="Times New Roman;serif" w:hAnsi="Times New Roman;serif"/>
                <w:b w:val="false"/>
                <w:i/>
                <w:color w:val="000000"/>
                <w:sz w:val="20"/>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369,814 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260,690 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as a percentage of revenue</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as a percentage of earnings from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 as a percentage of earnings from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we generated free cash flow of $319.6 million, representing 7.5% of revenue and 58.0% of earnings from continuing operations. Free cash flow for the six months ended June 30, 2026 increased $58.9 million, compared to June 30, 2025, primarily driven by higher operating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use commercial paper borrowings for general corporate purposes, including the funding of acquisitions and the repurchase of our common stock. As of June 30, 2026, we maintained a </w:t>
      </w:r>
      <w:r>
        <w:rPr>
          <w:rFonts w:ascii="Times New Roman;serif" w:hAnsi="Times New Roman;serif"/>
          <w:b w:val="false"/>
          <w:color w:val="000000"/>
          <w:sz w:val="20"/>
        </w:rPr>
        <w:t>$1.5 billion</w:t>
      </w:r>
      <w:r>
        <w:rPr>
          <w:color w:val="000000"/>
          <w:shd w:fill="FFFFFF" w:val="clear"/>
        </w:rPr>
        <w:t xml:space="preserve"> </w:t>
      </w:r>
      <w:r>
        <w:rPr>
          <w:rFonts w:ascii="Times New Roman;serif" w:hAnsi="Times New Roman;serif"/>
          <w:b w:val="false"/>
          <w:color w:val="000000"/>
          <w:sz w:val="20"/>
          <w:shd w:fill="FFFFFF" w:val="clear"/>
        </w:rPr>
        <w:t xml:space="preserve">five-year unsecured revolving credit facility (the "Credit Agreement") with a syndicate of banks which expires April 2, 2031. The Credit Agreement is designated as a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back-stop for the Company's commercial paper program and also is available for general corporate purposes. </w:t>
      </w:r>
      <w:r>
        <w:rPr>
          <w:rFonts w:ascii="Times New Roman;serif" w:hAnsi="Times New Roman;serif"/>
          <w:b w:val="false"/>
          <w:color w:val="000000"/>
          <w:sz w:val="20"/>
        </w:rPr>
        <w:t xml:space="preserve">The previous $1.0 billion five-year unsecured revolving credit facility was terminated upon execution of the new credit facility and the previous $500.0 million 364-day unsecured revolving credit facility expired on the same day. There were no outstanding borrowings under the new Credit Agreement as of June 30, 2026 or previous five-year and 364-day credit facilities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 The Company was in compliance with all covenants in the Credit Agreements and other long-term debt covenants at June 30, 2026 and had an interest coverage ratio of consolidated EBITDA to consolidated net interest expense of 36.9 to 1. We are not aware of any potential impairment to our liquidity and expect to remain in compliance with all of our debt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our cash and cash equivalents totaled $1.8 billion, of which approximately $602.5 million was held outside the United States. At December 31, 2025, our cash and cash equivalents totaled $1.7 billion, of which approximately $447.8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the net debt to net capitalization calculation (a non-GAAP measure) to evaluate our capital structure and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calculation of net debt to net capitalization from the most directly comparable GAAP measures:</w:t>
      </w:r>
    </w:p>
    <w:p>
      <w:pPr>
        <w:pStyle w:val="TextBody"/>
        <w:bidi w:val="0"/>
        <w:spacing w:before="0" w:after="0"/>
        <w:jc w:val="both"/>
        <w:rPr/>
      </w:pPr>
      <w:r>
        <w:rPr/>
      </w:r>
    </w:p>
    <w:tbl>
      <w:tblPr>
        <w:tblW w:w="7184" w:type="dxa"/>
        <w:jc w:val="left"/>
        <w:tblInd w:w="0" w:type="dxa"/>
        <w:tblLayout w:type="fixed"/>
        <w:tblCellMar>
          <w:top w:w="28" w:type="dxa"/>
          <w:left w:w="28" w:type="dxa"/>
          <w:bottom w:w="28" w:type="dxa"/>
          <w:right w:w="28" w:type="dxa"/>
        </w:tblCellMar>
      </w:tblPr>
      <w:tblGrid>
        <w:gridCol w:w="1157"/>
        <w:gridCol w:w="1016"/>
        <w:gridCol w:w="1021"/>
        <w:gridCol w:w="109"/>
        <w:gridCol w:w="109"/>
        <w:gridCol w:w="109"/>
        <w:gridCol w:w="211"/>
        <w:gridCol w:w="976"/>
        <w:gridCol w:w="271"/>
        <w:gridCol w:w="109"/>
        <w:gridCol w:w="109"/>
        <w:gridCol w:w="109"/>
        <w:gridCol w:w="249"/>
        <w:gridCol w:w="1155"/>
        <w:gridCol w:w="320"/>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Debt to Net Capitalization Ratio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3,259,988 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3,327,972 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(1,755,971)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(1,676,808)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1,504,017 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1,651,164 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7,405,206 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9,208,021 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9,056,370 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net debt to net capitalization ratio decreased to 16.3% at June 30, 2026 compared to 18.2% at December 31, 2025. Net debt decreased $147.1 million during the period primarily driven by an increase in cash and cash equivalents and a decrease in value of the euro-denominated debt resulting from foreign currency translation adjustments. Stockholders' equity increased for the period primarily driven by current earnings of $550.7 million, partially offset by dividends paid and share repurchases for the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cash flow and access to capital markets are expected to satisfy our various cash flow requirements, including acquisitions, capital expenditures, purchase obligations, debt maturities, and lease obligations. Acquisition spending and/or share repurchases could potentially increase our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existing sources of liquidity are adequate to meet anticipated funding needs at current risk-based interest rates for the foreseeable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2025.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 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2025.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and comparisons to non-GAAP measures can be found above in this 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significant change in our exposure to market risk during the six months ended June 30, 2026. For a discussion of our exposure to market risk, refer to Item 7A, "Quantitative and Qualitative Disclosures about Market Risk," contained in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4</w:t>
      </w:r>
      <w:r>
        <w:rPr>
          <w:rFonts w:ascii="Times New Roman;serif" w:hAnsi="Times New Roman;serif"/>
          <w:b w:val="false"/>
          <w:color w:val="000000"/>
          <w:sz w:val="20"/>
        </w:rPr>
        <w:t xml:space="preserve">. </w:t>
      </w:r>
      <w:r>
        <w:rPr>
          <w:rFonts w:ascii="Times New Roman;serif" w:hAnsi="Times New Roman;serif"/>
          <w:b/>
          <w:color w:val="000000"/>
          <w:sz w:val="20"/>
        </w:rPr>
        <w:t>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w:t>
      </w:r>
      <w:r>
        <w:rPr>
          <w:rFonts w:ascii="Times New Roman;serif" w:hAnsi="Times New Roman;serif"/>
          <w:b w:val="false"/>
          <w:color w:val="000000"/>
          <w:sz w:val="20"/>
          <w:shd w:fill="FFFFFF" w:val="clear"/>
        </w:rPr>
        <w:t>ure controls and procedures were effective as of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second quarter of 2026, there were no changes in the Company's internal control over financial reporting that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14 — Commitments and Contingent Liabilities in the condensed consolidated financial statements in Item 1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below table presents shares of Dover Stock that we acquired during the quarter</w:t>
      </w:r>
    </w:p>
    <w:tbl>
      <w:tblPr>
        <w:tblW w:w="10205" w:type="dxa"/>
        <w:jc w:val="left"/>
        <w:tblInd w:w="0" w:type="dxa"/>
        <w:tblLayout w:type="fixed"/>
        <w:tblCellMar>
          <w:top w:w="28" w:type="dxa"/>
          <w:left w:w="28" w:type="dxa"/>
          <w:bottom w:w="28" w:type="dxa"/>
          <w:right w:w="28" w:type="dxa"/>
        </w:tblCellMar>
      </w:tblPr>
      <w:tblGrid>
        <w:gridCol w:w="408"/>
        <w:gridCol w:w="272"/>
        <w:gridCol w:w="273"/>
        <w:gridCol w:w="588"/>
        <w:gridCol w:w="452"/>
        <w:gridCol w:w="453"/>
        <w:gridCol w:w="109"/>
        <w:gridCol w:w="109"/>
        <w:gridCol w:w="109"/>
        <w:gridCol w:w="267"/>
        <w:gridCol w:w="915"/>
        <w:gridCol w:w="138"/>
        <w:gridCol w:w="109"/>
        <w:gridCol w:w="109"/>
        <w:gridCol w:w="109"/>
        <w:gridCol w:w="835"/>
        <w:gridCol w:w="731"/>
        <w:gridCol w:w="733"/>
        <w:gridCol w:w="109"/>
        <w:gridCol w:w="109"/>
        <w:gridCol w:w="109"/>
        <w:gridCol w:w="1116"/>
        <w:gridCol w:w="840"/>
        <w:gridCol w:w="1203"/>
      </w:tblGrid>
      <w:tr>
        <w:trPr/>
        <w:tc>
          <w:tcPr>
            <w:tcW w:w="4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Number (or Approximate Dollar Value) of Shares that May Yet Be Purchased under the Plans or Programs </w:t>
            </w:r>
            <w:r>
              <w:rPr>
                <w:rFonts w:ascii="Times New Roman;serif" w:hAnsi="Times New Roman;serif"/>
                <w:b/>
                <w:color w:val="000000"/>
                <w:sz w:val="13"/>
              </w:rPr>
              <w:t>(1)</w:t>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to April 30</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153,652 </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153,652 </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14,193,056 </w:t>
            </w:r>
          </w:p>
        </w:tc>
        <w:tc>
          <w:tcPr>
            <w:tcW w:w="1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to May 31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14,193,056 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to June 30</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14,193,056 </w:t>
            </w:r>
          </w:p>
        </w:tc>
        <w:tc>
          <w:tcPr>
            <w:tcW w:w="1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Quarter</w:t>
            </w:r>
          </w:p>
        </w:tc>
        <w:tc>
          <w:tcPr>
            <w:tcW w:w="10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153,652 </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153,652 </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14,193,056 </w:t>
            </w:r>
          </w:p>
        </w:tc>
        <w:tc>
          <w:tcPr>
            <w:tcW w:w="1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 August 2023, the Company's Board of Directors approved a new standing share repurchase authorization whereby the Company may repurchase up to 20 million shares beginning on January 1, 2024 through December 31, 2026. As of June 30, 2026, the number of shares still available for repurchase under the current share repurchase authorization was 14,193,056.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On November 10, 2025, the Company entered into a $500.0 million accelerated share repurchase agreement (the "ASR Agreement") with JPMorgan Chase Bank, N.A. ("JPMorgan") to repurchase its shares in an accelerated share repurchase program (the "ASR Program"). The Company funded the ASR Program with cash on hand. Under the terms of the ASR Agreement, the Company paid JPMorgan $500.0 million on November 12, 2025, and on that date received initial delivery of 2,334,010 shares, representing a substantial majority of the shares expected to be retired over the course of the ASR Program. In April 2026, JPMorgan delivered 153,652 additional shares which completed the ASR Program, totaling 2,487,662 repurchased shares under the ASR Agreement. The total number of shares repurchased under the ASR Agreement was based on the average of the daily volume-weighted average share price of Dover's common stock during the calculation period of the ASR Program, less a discount, which was $200.99 over the term of the ASR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b. None.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w:t>
      </w:r>
      <w:r>
        <w:rPr>
          <w:color w:val="000000"/>
        </w:rPr>
        <w:t xml:space="preserve"> </w:t>
      </w:r>
      <w:r>
        <w:rPr>
          <w:rFonts w:ascii="Times New Roman;serif" w:hAnsi="Times New Roman;serif"/>
          <w:b w:val="false"/>
          <w:color w:val="000000"/>
          <w:sz w:val="20"/>
        </w:rPr>
        <w:t>During the six months ended June 30, 2026, no director or Section 16 officer adopted or terminated any Rule 10b5-1 trading arrangements or non-Rule 10b5-1 trading arrangements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6"/>
        <w:gridCol w:w="154"/>
        <w:gridCol w:w="2836"/>
        <w:gridCol w:w="2787"/>
        <w:gridCol w:w="3947"/>
      </w:tblGrid>
      <w:tr>
        <w:trPr/>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Five-Year Credit Agreement dated as of April 2, 2026 among Dover Corporation, the Lenders party thereto, the Issuing Banks party thereto, the Borrowing Subsidiaries party thereto from time to time and JPMorgan Chase Bank, N.A. as Administrative Agent, filed as Exhibit 10.1 to the Company’s Current Report on Form 8-K filed April 8, 2026 (SEC File No. 001-04018), is incorporated by reference.</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063010-qexhibit311.htm">
              <w:r>
                <w:rPr>
                  <w:rStyle w:val="InternetLink"/>
                  <w:rFonts w:ascii="Times New Roman;serif" w:hAnsi="Times New Roman;serif"/>
                  <w:b w:val="false"/>
                  <w:color w:val="0000FF"/>
                  <w:sz w:val="20"/>
                  <w:u w:val="single"/>
                </w:rPr>
                <w:t>Certificate pursuant to Rule 13a-14(a) of the Securities Exchange Act of 1934, as amended, signed and dated by Christopher B. Woenker.</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063010-qexhibit312.htm">
              <w:r>
                <w:rPr>
                  <w:rStyle w:val="InternetLink"/>
                  <w:rFonts w:ascii="Times New Roman;serif" w:hAnsi="Times New Roman;serif"/>
                  <w:b w:val="false"/>
                  <w:color w:val="0000FF"/>
                  <w:sz w:val="20"/>
                  <w:u w:val="single"/>
                </w:rPr>
                <w:t>Certificate pursuant to Rule 13a-14(a) of the Securities Exchange Act of 1934, as amended, signed and dated by Richard J. Tobin.</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063010-qexhibit32.htm">
              <w:r>
                <w:rPr>
                  <w:rStyle w:val="InternetLink"/>
                  <w:rFonts w:ascii="Times New Roman;serif" w:hAnsi="Times New Roman;serif"/>
                  <w:b w:val="false"/>
                  <w:color w:val="0000FF"/>
                  <w:sz w:val="20"/>
                  <w:u w:val="single"/>
                </w:rPr>
                <w:t>Certification pursuant to 18 U.S.C. Section 1350, as adopted pursuant to Section 906 of the Sarbanes-Oxley Act of 2002, signed and dated by Richard J. Tobin and Christopher B. Woenker.</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Dover Corporation’s Quarterly Report on Form 10-Q for the quarter ended June 30, 2026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in Inline XBRL and contained in 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4b9d86d2437d4e45a317afdbcb7d6559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on Form 10-Q to be signed on its behalf by the undersigned thereunto duly authorized.</w:t>
      </w:r>
    </w:p>
    <w:tbl>
      <w:tblPr>
        <w:tblW w:w="575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167"/>
        <w:gridCol w:w="1167"/>
        <w:gridCol w:w="16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DOVER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 Woenker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W. Paulson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W. Paulson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Christopher B. Woenker,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Dover Corporation;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6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166"/>
        <w:gridCol w:w="1166"/>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Richard J. Tobin,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Dover Corporation;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8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939"/>
        <w:gridCol w:w="939"/>
        <w:gridCol w:w="13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with Respect to the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Dover Corporation</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pStyle w:val="TextBody"/>
        <w:bidi w:val="0"/>
        <w:spacing w:lineRule="auto" w:line="288" w:before="0" w:after="180"/>
        <w:ind w:left="0" w:right="0" w:hanging="360"/>
        <w:jc w:val="both"/>
        <w:rPr/>
      </w:pPr>
      <w:r>
        <w:rPr>
          <w:rFonts w:ascii="Times New Roman;serif" w:hAnsi="Times New Roman;serif"/>
          <w:b w:val="false"/>
          <w:color w:val="000000"/>
          <w:sz w:val="20"/>
        </w:rPr>
        <w:t>1.The Company’s Quarterly Report on Form 10-Q for the period ended June 30, 2026 (the “Form 10-Q</w:t>
      </w:r>
      <w:r>
        <w:rPr>
          <w:color w:val="000000"/>
        </w:rPr>
        <w:t>”</w:t>
      </w:r>
      <w:r>
        <w:rPr>
          <w:rFonts w:ascii="Times New Roman;serif" w:hAnsi="Times New Roman;serif"/>
          <w:b w:val="false"/>
          <w:color w:val="000000"/>
          <w:sz w:val="20"/>
        </w:rPr>
        <w:t>) fully complies with the requirements of Section 13(a) of the Securities Exchange Act of 1934, as amended;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Form 10-Q fairly presents, in all material respects, the financial condition and results of operations of the Company.</w:t>
      </w:r>
    </w:p>
    <w:tbl>
      <w:tblPr>
        <w:tblW w:w="5865"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1167"/>
        <w:gridCol w:w="1167"/>
        <w:gridCol w:w="165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J. Tobin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Tobin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 Woenker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 Woenker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&amp;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9905/000119312526147940/d111508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21519</Words>
  <Characters>122743</Characters>
  <CharactersWithSpaces>142180</CharactersWithSpaces>
  <Paragraphs>3887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