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3820" w:right="1860" w:hanging="3812"/>
        <w:spacing w:after="0" w:line="397" w:lineRule="auto"/>
        <w:tabs>
          <w:tab w:leader="none" w:pos="3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580" w:type="dxa"/>
            <w:vAlign w:val="bottom"/>
          </w:tcPr>
          <w:p>
            <w:pPr>
              <w:spacing w:after="0"/>
              <w:rPr>
                <w:sz w:val="21"/>
                <w:szCs w:val="21"/>
                <w:color w:val="auto"/>
              </w:rPr>
            </w:pPr>
          </w:p>
        </w:tc>
        <w:tc>
          <w:tcPr>
            <w:tcW w:w="38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486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820" w:type="dxa"/>
            <w:vAlign w:val="bottom"/>
          </w:tcPr>
          <w:p>
            <w:pPr>
              <w:ind w:left="1240"/>
              <w:spacing w:after="0" w:line="170" w:lineRule="exact"/>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280"/>
              <w:spacing w:after="0" w:line="170"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21"/>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20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April 18, 2025 was 137,104,367.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71"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7"/>
              </w:rPr>
              <w:t>PART I — FINANCIAL INFORMATION</w:t>
            </w:r>
          </w:p>
        </w:tc>
        <w:tc>
          <w:tcPr>
            <w:tcW w:w="7380" w:type="dxa"/>
            <w:vAlign w:val="bottom"/>
            <w:gridSpan w:val="16"/>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vMerge w:val="restart"/>
          </w:tcPr>
          <w:p>
            <w:pPr>
              <w:spacing w:after="0" w:line="20" w:lineRule="exact"/>
              <w:rPr>
                <w:sz w:val="1"/>
                <w:szCs w:val="1"/>
                <w:color w:val="auto"/>
              </w:rPr>
            </w:pPr>
          </w:p>
        </w:tc>
        <w:tc>
          <w:tcPr>
            <w:tcW w:w="970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months ended March 31, 2025 and 2024</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for the three months ended March 31, 2025 and 2024</w:t>
            </w:r>
          </w:p>
        </w:tc>
        <w:tc>
          <w:tcPr>
            <w:tcW w:w="114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2025 and December 31, 2024</w:t>
            </w:r>
          </w:p>
        </w:tc>
        <w:tc>
          <w:tcPr>
            <w:tcW w:w="114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440" w:type="dxa"/>
            <w:vAlign w:val="bottom"/>
            <w:gridSpan w:val="2"/>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5"/>
              </w:rPr>
              <w:t>Note 1 — Basis of Presentation</w:t>
            </w:r>
          </w:p>
        </w:tc>
        <w:tc>
          <w:tcPr>
            <w:tcW w:w="5360" w:type="dxa"/>
            <w:vAlign w:val="bottom"/>
            <w:gridSpan w:val="14"/>
          </w:tcPr>
          <w:p>
            <w:pPr>
              <w:spacing w:after="0"/>
              <w:rPr>
                <w:sz w:val="18"/>
                <w:szCs w:val="18"/>
                <w:color w:val="auto"/>
              </w:rPr>
            </w:pPr>
          </w:p>
        </w:tc>
        <w:tc>
          <w:tcPr>
            <w:tcW w:w="2120" w:type="dxa"/>
            <w:vAlign w:val="bottom"/>
            <w:gridSpan w:val="3"/>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2 — Revenue</w:t>
            </w:r>
          </w:p>
        </w:tc>
        <w:tc>
          <w:tcPr>
            <w:tcW w:w="7480" w:type="dxa"/>
            <w:vAlign w:val="bottom"/>
            <w:gridSpan w:val="17"/>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3 — Acquisitions</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 4 — Discontinued and Disposed Operations</w:t>
            </w:r>
          </w:p>
        </w:tc>
        <w:tc>
          <w:tcPr>
            <w:tcW w:w="6120" w:type="dxa"/>
            <w:vAlign w:val="bottom"/>
            <w:gridSpan w:val="9"/>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5 — Inventories, net</w:t>
            </w:r>
          </w:p>
        </w:tc>
        <w:tc>
          <w:tcPr>
            <w:tcW w:w="1720" w:type="dxa"/>
            <w:vAlign w:val="bottom"/>
            <w:gridSpan w:val="10"/>
          </w:tcPr>
          <w:p>
            <w:pPr>
              <w:spacing w:after="0"/>
              <w:rPr>
                <w:sz w:val="18"/>
                <w:szCs w:val="18"/>
                <w:color w:val="auto"/>
              </w:rPr>
            </w:pPr>
          </w:p>
        </w:tc>
        <w:tc>
          <w:tcPr>
            <w:tcW w:w="61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 6 — Property, Plant and Equipment, net</w:t>
            </w:r>
          </w:p>
        </w:tc>
        <w:tc>
          <w:tcPr>
            <w:tcW w:w="642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 7 — Credit Losses</w:t>
            </w:r>
          </w:p>
        </w:tc>
        <w:tc>
          <w:tcPr>
            <w:tcW w:w="642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8 — Goodwill and Other Intangible Assets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9 — Restructuring Activities</w:t>
            </w:r>
          </w:p>
        </w:tc>
        <w:tc>
          <w:tcPr>
            <w:tcW w:w="6220" w:type="dxa"/>
            <w:vAlign w:val="bottom"/>
            <w:gridSpan w:val="10"/>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Note 10 — Borrowings</w:t>
            </w:r>
          </w:p>
        </w:tc>
        <w:tc>
          <w:tcPr>
            <w:tcW w:w="780" w:type="dxa"/>
            <w:vAlign w:val="bottom"/>
            <w:gridSpan w:val="7"/>
          </w:tcPr>
          <w:p>
            <w:pPr>
              <w:spacing w:after="0"/>
              <w:rPr>
                <w:sz w:val="18"/>
                <w:szCs w:val="18"/>
                <w:color w:val="auto"/>
              </w:rPr>
            </w:pPr>
          </w:p>
        </w:tc>
        <w:tc>
          <w:tcPr>
            <w:tcW w:w="722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11 — Financial Instruments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12 — Income Taxes</w:t>
            </w:r>
          </w:p>
        </w:tc>
        <w:tc>
          <w:tcPr>
            <w:tcW w:w="540" w:type="dxa"/>
            <w:vAlign w:val="bottom"/>
            <w:gridSpan w:val="4"/>
          </w:tcPr>
          <w:p>
            <w:pPr>
              <w:spacing w:after="0"/>
              <w:rPr>
                <w:sz w:val="18"/>
                <w:szCs w:val="18"/>
                <w:color w:val="auto"/>
              </w:rPr>
            </w:pPr>
          </w:p>
        </w:tc>
        <w:tc>
          <w:tcPr>
            <w:tcW w:w="730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13 — Equity Incentive Program</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 14 — Commitments and Contingent Liabilities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Note 15 — Other Comprehensive Earnings</w:t>
            </w:r>
          </w:p>
        </w:tc>
        <w:tc>
          <w:tcPr>
            <w:tcW w:w="680" w:type="dxa"/>
            <w:vAlign w:val="bottom"/>
            <w:gridSpan w:val="4"/>
          </w:tcPr>
          <w:p>
            <w:pPr>
              <w:spacing w:after="0"/>
              <w:rPr>
                <w:sz w:val="18"/>
                <w:szCs w:val="18"/>
                <w:color w:val="auto"/>
              </w:rPr>
            </w:pP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6580" w:type="dxa"/>
            <w:vAlign w:val="bottom"/>
            <w:gridSpan w:val="12"/>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Note 17 — Stockholders' Equity</w:t>
            </w: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18 — Earnings per Share</w:t>
            </w:r>
          </w:p>
        </w:tc>
        <w:tc>
          <w:tcPr>
            <w:tcW w:w="100" w:type="dxa"/>
            <w:vAlign w:val="bottom"/>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19 — Recent Accounting Pronouncements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13"/>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660" w:type="dxa"/>
            <w:vAlign w:val="bottom"/>
            <w:gridSpan w:val="18"/>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tcPr>
          <w:p>
            <w:pPr>
              <w:spacing w:after="0"/>
              <w:rPr>
                <w:sz w:val="18"/>
                <w:szCs w:val="18"/>
                <w:color w:val="auto"/>
              </w:rPr>
            </w:pPr>
          </w:p>
        </w:tc>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320" w:type="dxa"/>
            <w:vAlign w:val="bottom"/>
            <w:gridSpan w:val="2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4"/>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7920" w:type="dxa"/>
            <w:vAlign w:val="bottom"/>
            <w:gridSpan w:val="20"/>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gridSpan w:val="4"/>
          </w:tcPr>
          <w:p>
            <w:pPr>
              <w:spacing w:after="0"/>
              <w:rPr>
                <w:sz w:val="18"/>
                <w:szCs w:val="18"/>
                <w:color w:val="auto"/>
              </w:rPr>
            </w:pPr>
          </w:p>
        </w:tc>
        <w:tc>
          <w:tcPr>
            <w:tcW w:w="7920" w:type="dxa"/>
            <w:vAlign w:val="bottom"/>
            <w:gridSpan w:val="2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6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1,883,719</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1,186,532</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697,187</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442,981</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254,206</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(529,943)</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759,679</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157,577</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602,102</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30,119</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632,221</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from continuing operations: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 from discontinued operations: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0"/>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139,051</w:t>
            </w:r>
          </w:p>
        </w:tc>
      </w:tr>
      <w:tr>
        <w:trPr>
          <w:trHeight w:val="230"/>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139,869</w:t>
            </w: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40" w:type="dxa"/>
            <w:vAlign w:val="bottom"/>
          </w:tcPr>
          <w:p>
            <w:pPr>
              <w:ind w:left="51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7"/>
        </w:trPr>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632,221</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earnings (loss), net of tax</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w:t>
            </w:r>
          </w:p>
        </w:tc>
      </w:tr>
      <w:tr>
        <w:trPr>
          <w:trHeight w:val="229"/>
        </w:trPr>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r>
      <w:tr>
        <w:trPr>
          <w:trHeight w:val="156"/>
        </w:trPr>
        <w:tc>
          <w:tcPr>
            <w:tcW w:w="78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foreign currency translation adjustments (net of $9,588 and $(4,386) tax benefit (provision),</w:t>
            </w: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24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(15,411)</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actuarial gain included in net periodic pension cost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prior service credits included in net periodic pension cost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pension and other post-retirement benefit plans (net of $132 and $139 tax benefit, respectively)</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net loss arising during period</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gain reclassified into earnings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flow hedges (net of $396 and $177 tax benefit, respectively)</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615,684</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1,844,877</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29"/>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140,557</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4,484,497</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4,960,412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4,905,702</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550,183</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12,648,548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400,056</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292,371</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198,629</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87,952</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335,326</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34,187</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2,138,933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2,196,527</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2,572,540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2,529,346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352,006</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471,127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7,137,767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12,648,548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13,409,633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(7,280,578)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($0.515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(71,399)</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acquired</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13,569,055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7,137,767</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10,995,624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5,106,605</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($0.51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(71,437)</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acquired, including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accelerated share repurchase program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(504,250)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817,839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11,556,408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5,152,852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7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230,821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632,221</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Loss (earnings) from discontinued operations,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(30,119)</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81,771</w:t>
            </w: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14,690</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Gain on dispositions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(529,943)</w:t>
            </w: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33,027</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effect of changes in assets and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(84,538)</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(30,559)</w:t>
            </w: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(26,307)</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w:t>
            </w: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(89,301)</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20,127</w:t>
            </w:r>
          </w:p>
        </w:tc>
      </w:tr>
      <w:tr>
        <w:trPr>
          <w:trHeight w:val="213"/>
        </w:trPr>
        <w:tc>
          <w:tcPr>
            <w:tcW w:w="7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and deferred taxes, net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133,771</w:t>
            </w: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146,456</w:t>
            </w:r>
          </w:p>
        </w:tc>
      </w:tr>
      <w:tr>
        <w:trPr>
          <w:trHeight w:val="21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(40,050)</w:t>
            </w: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Acquisitions, net of cash and cash equivalents acquired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(144,872)</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dispositions, net of cash transferred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611,727</w:t>
            </w:r>
          </w:p>
        </w:tc>
      </w:tr>
      <w:tr>
        <w:trPr>
          <w:trHeight w:val="213"/>
        </w:trPr>
        <w:tc>
          <w:tcPr>
            <w:tcW w:w="7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5,611</w:t>
            </w: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432,416</w:t>
            </w:r>
          </w:p>
        </w:tc>
      </w:tr>
      <w:tr>
        <w:trPr>
          <w:trHeight w:val="214"/>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Repurchase of common stock, including accelerated share repurchase program</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 in commercial paper and other short-term borrowings,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500,690</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(71,437)</w:t>
            </w:r>
          </w:p>
        </w:tc>
      </w:tr>
      <w:tr>
        <w:trPr>
          <w:trHeight w:val="213"/>
        </w:trPr>
        <w:tc>
          <w:tcPr>
            <w:tcW w:w="7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Payments to settle employee tax obligations on exercise of share-based awards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w:t>
            </w:r>
          </w:p>
        </w:tc>
      </w:tr>
      <w:tr>
        <w:trPr>
          <w:trHeight w:val="21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0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(80,782)</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 of discontinued operations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20,136</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 of discontinued operations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r>
      <w:tr>
        <w:trPr>
          <w:trHeight w:val="20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discontinued operations</w:t>
            </w: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17,571</w:t>
            </w:r>
          </w:p>
        </w:tc>
      </w:tr>
      <w:tr>
        <w:trPr>
          <w:trHeight w:val="151"/>
        </w:trPr>
        <w:tc>
          <w:tcPr>
            <w:tcW w:w="7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514,093</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1,844,877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415,861</w:t>
            </w: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1,805,320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929,954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2024, included in the Company's Annual Report on Form 10-K filed with the SEC on February 14, 2025. The year-end consolidated balance sheet was derived from audited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The preparation of these financial statements requires us to make estimates and assumptions that affect amounts reported in the condensed consolidated financial statements and accompanying disclosures. Although these estimates are based on management’s knowledge of current events and expectations about actions that the Company may undertake in the future, actual results may differ from those estimates. Our interim condensed consolidated financial statements are unaudited but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Environmental Solutions Group ("ESG") business, an operating company within the Engineered Products segment, was sold during the fourth quarter of 2024 and reported as discontinued operations. Therefore, the Company has classified the results of operations prior to the sale as discontinued operations in the condensed consolidated statements of earnings and the condensed consolidated statements of cash flows. The discussion in the notes to these condensed consolidated financial statements, unless otherwise noted, relates solely to our continuing operations. See Note 4 — Discontinued and Disposed Operations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these categories best depict the nature and amount of the Company’s revenue. See Note 16 — Segment Information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March 31, 2025, we estimated that $196,803 in revenue is expected to be recognized in the future related to performance obligations that are unsatisfied (or partially unsatisfied) at the end of the reporting period. We expect to recognize approximately 73.1% of the Company's unsatisfied (or partially unsatisfied) performance obligations as revenue through 2026, 14.4% in 2027, with the remaining balance to be recognized in 2028 and thereafter.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Accounting Standards Codification ("ASC") 606, the Company has excluded from its disclosures above about unsatisfied performance obligations for any contracts with an expected duration of one year or less, and contracts for which the Company recognizes revenue at the amount to which the Company has the right to invoice for services performed.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194,798</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during the three months ended March 31, 2025 and 2024 that was included in contract liabilities at the beginning of the period amounted to $74,189 and $105,472,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acquired one business. On January 17, 2025, the Company acquired 100% of the equity interest in Cryogenic Machinery Corp. ("Cryo-Mach"), a provider of cryogenic centrifugal pumps, mechanical seals, and accessories, for total consideration of $29,287, net of cash acquired. The Cryo-Mach business was acquired to expand the Company's participation in cryogenic applications within the Pumps &amp; Process Solutions segment. In connection with this acquisition, the Company recorded preliminary goodwill of $9,697 and intangible assets of $21,011, primarily related to customer intangibles. The goodwill recorded as a result of this acquisition represents the economic benefits expected to be derived from product line expansions and operational synergies and is deductible for income tax purposes.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acquired three businesses in separate transactions for total consideration of $175,855, net of cash acquired and inclusive of contingent consideration of $29,428 (a non-cash financing activity) and measurement period adjustments. These businesses were acquired to complement and expand upon existing operations within the Clean Energy &amp; Fueling and Imaging &amp; Identification segments. The goodwill recorded as a result of these acquisitions represents the economic benefits expected to be derived from product line expansions and operational synergies and is non-deductible for income tax purposes.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2024, the Company acquired 100% of the equity interests in the Transchem Group ("Transchem"), a supplier of car wash chemicals and associated solutions, for $48,241, net of cash acquired and inclusive of contingent consideration and measurement period adjustments. The Transchem acquisition expands the Company's chemical product offerings in the Clean Energy &amp; Fueling segment, specializing in wash performance and water reclaim technology that reduces water usage and lowers car wash operators' cost. In connection with this acquisition, the Company recorded goodwill of $25,132 and intangible assets of $26,309, primarily related to customer intangibles.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2024, the Company acquired 100% of the equity interests in Bulloch Technologies, Inc. ("Bulloch"), a provider of point-of-sale ("POS"), forecourt controller and electronic payment server solutions to the convenience retail industry, for $121,917, net of cash acquired and inclusive of contingent consideration and measurement period adjustments. The acquisition of Bulloch expands the Company's offering in North America with highly complementary POS and forecourt solutions within the Clean Energy &amp; Fueling segment. In connection with this acquisition, the Company recorded goodwill of $73,850 and intangible assets of $62,417, primarily related to customer intangibles.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other immaterial acquisition was completed during the three months ended March 31, 2024, within the Imaging &amp; Identification segment. The acquisition is highly complementary to our existing track and trace solutions business, grows our presence in the European market and adds complementary offerings to our portfolio.</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55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5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55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(29,527)</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5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520" w:type="dxa"/>
            <w:vAlign w:val="bottom"/>
            <w:vMerge w:val="restart"/>
          </w:tcPr>
          <w:p>
            <w:pPr>
              <w:jc w:val="right"/>
              <w:ind w:right="3859"/>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08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80" w:type="dxa"/>
            <w:vAlign w:val="bottom"/>
            <w:tcBorders>
              <w:bottom w:val="single" w:sz="8" w:color="9A9A9A"/>
            </w:tcBorders>
          </w:tcPr>
          <w:p>
            <w:pPr>
              <w:spacing w:after="0"/>
              <w:rPr>
                <w:sz w:val="9"/>
                <w:szCs w:val="9"/>
                <w:color w:val="auto"/>
              </w:rPr>
            </w:pPr>
          </w:p>
        </w:tc>
        <w:tc>
          <w:tcPr>
            <w:tcW w:w="5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acquisitions during the three months ended March 31, 2024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 years)</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74,595</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7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Discontinued and Disposed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8, 2024, the Company completed the sale of the ESG business, an operating company within the Engineered Products segment, to Terex Corporation for total preliminary consideration, net of cash transferred, of $2.0 billion, subject to post-closing adjustments. The ESG sale qualifies for discontinued operations reporting because its disposal represented a strategic shift with a major effect on the Company's operations and financial results. As a result, the Company has classified the results of operations as discontinued operations in the condensed consolidated statements of earnings and the condensed consolidated statements of cash flows for the three months ended March 31, 2024. During the three months ended March 31, 2025, net working capital adjustments of $9,796 ($7,739 after-tax) and other post-closing adjustments of $862 ($681 after-tax) were recorded resulting in a loss from discontinued operations, net of $8,420 in the condensed consolidated statements of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Summarized results of the Company's discontinued operations are as follows:</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7560" w:type="dxa"/>
            <w:vAlign w:val="bottom"/>
          </w:tcPr>
          <w:p>
            <w:pPr>
              <w:spacing w:after="0"/>
              <w:rPr>
                <w:sz w:val="22"/>
                <w:szCs w:val="22"/>
                <w:color w:val="auto"/>
              </w:rPr>
            </w:pPr>
          </w:p>
        </w:tc>
        <w:tc>
          <w:tcPr>
            <w:tcW w:w="368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5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210,222</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150,154</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60,068</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disposition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discontinued operations before provision for income taxes</w:t>
            </w:r>
          </w:p>
        </w:tc>
        <w:tc>
          <w:tcPr>
            <w:tcW w:w="1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39,203</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discontinued operations, net</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30,119</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Dispositions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dispositions in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Disposition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2024, the Company completed the sale of the De-Sta-Co business, an operating company within the Engineered Products segment, for total consideration, net of cash transferred, of $674,727. Of the total consideration, $63,000 was received upon finalization of closing activities in India and China, which occurred during the second quarter of 2024, and represents a non-cash investing activity for the three months ended March 31, 2024. This sale resulted in a preliminary pre-tax gain on disposition of $529,943 ($414,970 after-tax) included within the condensed consolidated statements of earnings for the three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months ended March 31, 2024. The sale did not meet the criteria to be classified as a discontinued operation, as it did not represent a strategic shift that would have a major effect on operations and financial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649,993</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233,544</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1,274,162</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(129,324)</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1,144,838</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1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626,075</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1,945,479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2,633,824</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(1,645,900)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987,924</w:t>
            </w: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$38,669 and $37,826 for the three months ended March 31,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deducted from accounts receivable that represent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29"/>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30"/>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8.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Pumps &amp; Process</w:t>
            </w:r>
          </w:p>
        </w:tc>
        <w:tc>
          <w:tcPr>
            <w:tcW w:w="14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1,072,031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510,968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4,905,702</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41,446</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511,600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4,960,412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recognized additions of $9,697 to goodwill as a result of the acquisition discussed in Note 3</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Acquisitions. Additionally, during the three months ended March 31, 2025, the Company recognized measurement period adjustments of $3,567 relating to third quarter 2024 acquisitions under the Clean Energy &amp; Fueling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820" w:type="dxa"/>
            <w:vAlign w:val="bottom"/>
          </w:tcPr>
          <w:p>
            <w:pPr>
              <w:spacing w:after="0"/>
              <w:rPr>
                <w:sz w:val="14"/>
                <w:szCs w:val="14"/>
                <w:color w:val="auto"/>
              </w:rPr>
            </w:pPr>
          </w:p>
        </w:tc>
        <w:tc>
          <w:tcPr>
            <w:tcW w:w="136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1"/>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1,159,763</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1,169,628</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126,471</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55,557</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108,635</w:t>
            </w: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3,258,056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1,484,377</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amortization expense was $48,749 and $43,945, respectively. Amortization expense is primarily comprised of acquisition-related intangible amortization.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acquired $21,011 of intangible assets, primarily customer intangibles, through an acquisition within the Pumps &amp; Process Solutions segment. See Note 3 — Acquisitions for further details.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9. Restructuring Activities</w:t>
            </w:r>
          </w:p>
        </w:tc>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31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1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restructuring expenses of $8,310 incurred during the three months ended March 31, 2025 were primarily related to headcount reductions and exit costs across the segments. These restructuring programs were initiated in 2024 and 2025 and the Company will continue to make proactive adjustments to its cost structure to align with current demand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20" w:type="dxa"/>
            <w:vAlign w:val="bottom"/>
          </w:tcPr>
          <w:p>
            <w:pPr>
              <w:spacing w:after="0"/>
              <w:rPr>
                <w:sz w:val="22"/>
                <w:szCs w:val="22"/>
                <w:color w:val="auto"/>
              </w:rPr>
            </w:pPr>
          </w:p>
        </w:tc>
        <w:tc>
          <w:tcPr>
            <w:tcW w:w="15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Exit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13,544</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0" w:type="dxa"/>
            <w:vAlign w:val="bottom"/>
          </w:tcPr>
          <w:p>
            <w:pPr>
              <w:spacing w:after="0"/>
              <w:rPr>
                <w:sz w:val="1"/>
                <w:szCs w:val="1"/>
                <w:color w:val="auto"/>
              </w:rPr>
            </w:pP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19,393</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10. Borrowings</w:t>
            </w:r>
          </w:p>
        </w:tc>
        <w:tc>
          <w:tcPr>
            <w:tcW w:w="55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180" w:type="dxa"/>
            <w:vAlign w:val="bottom"/>
            <w:tcBorders>
              <w:bottom w:val="single" w:sz="8" w:color="auto"/>
            </w:tcBorders>
            <w:vMerge w:val="continue"/>
          </w:tcPr>
          <w:p>
            <w:pPr>
              <w:spacing w:after="0"/>
              <w:rPr>
                <w:sz w:val="24"/>
                <w:szCs w:val="24"/>
                <w:color w:val="auto"/>
              </w:rPr>
            </w:pPr>
          </w:p>
        </w:tc>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consist of the following:</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80" w:type="dxa"/>
            <w:vAlign w:val="bottom"/>
            <w:tcBorders>
              <w:bottom w:val="single" w:sz="8" w:color="CCEEFF"/>
            </w:tcBorders>
          </w:tcPr>
          <w:p>
            <w:pPr>
              <w:spacing w:after="0"/>
              <w:rPr>
                <w:sz w:val="22"/>
                <w:szCs w:val="22"/>
                <w:color w:val="auto"/>
              </w:rPr>
            </w:pPr>
          </w:p>
        </w:tc>
        <w:tc>
          <w:tcPr>
            <w:tcW w:w="55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399,579</w:t>
            </w:r>
          </w:p>
        </w:tc>
        <w:tc>
          <w:tcPr>
            <w:tcW w:w="6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 and current portion of long-term debt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400,262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1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5"/>
                <w:szCs w:val="15"/>
                <w:color w:val="auto"/>
              </w:rPr>
            </w:pPr>
          </w:p>
        </w:tc>
        <w:tc>
          <w:tcPr>
            <w:tcW w:w="150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6"/>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 10-year notes due November 15,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399,579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1.25% 10-year notes due November 9, 2026 (euro-denominated)</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645,730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622,313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0.750% 8-year notes due November 4, 2027 (euro-denominated)</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537,351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517,863</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6.65% 30-year debentures due June 1, 2028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199,682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199,657</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2.950% 10-year notes due November 4, 2029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298,260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298,166</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 30-year debentures due October 15, 2035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297,370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 30-year notes due March 15, 2038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248,534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248,505</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 30-year notes due March 1, 2041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345,603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345,534</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2,972,119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2,928,757</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current portion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(399,579)</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long-term debt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2,572,540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firstLine="8"/>
        <w:spacing w:after="0"/>
        <w:tabs>
          <w:tab w:leader="none" w:pos="18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is net of unamortized debt discount and deferred debt issuance costs. Total unamortized debt discounts were $8.2 million and $8.5 million as of March 31, 2025 and December 31, 2024, respectively. Total deferred debt issuance costs were $6.4 million and $6.8 million as of March 31, 2025 and December 31, 2024, respectively.</w:t>
      </w:r>
    </w:p>
    <w:p>
      <w:pPr>
        <w:spacing w:after="0" w:line="3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6, 2023, the Company entered into a $1.0 billion five-year unsecured revolving credit facility and on April 3, 2025, the Company entered into a new $500.0 million 364-day unsecured revolving credit facility (together, the "Credit Agreements") with a syndicate of banks. The current 364-day credit facility replaced the previous $500.0 million 364-day credit facility, which expired on April 3, 2025. The lenders' commitments under the Credit Agreements will terminate and any outstanding loans under the Credit Agreements will mature on April 6, 2028 and April 2, 2026, respectively. The Company may elect to extend the maturity date of any loans under the new 364-day credit facility until April 2, 2027, subject to conditions specified therein. The Credit Agreements are designated as a liquidity back-stop for the Company's commercial paper program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March 31, 2025 and December 31, 2024, there were no outstanding borrowings under the five-year or previous 364-day credit facilities.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Agreements and other long-term debt covenants at March 31, 2025 and had an interest coverage ratio of consolidated EBITDA to consolidated net interest expense of 49.4 to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Guarantees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approximately $170.0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March 31, 2025 and December 31, 2024, the Company had contracts with total notional amounts of $149,815 and $142,835, respectively, to exchange currencies, principally euro, pound sterling, Swedish krona, Canadian dollar, Chinese yuan, and Swiss franc. The Company believes it is probable that all forecasted cash flow transactions will occur.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$78,666 and $75,784 as of March 31, 2025 and December 31, 2024,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held by the Company as of March 31, 2025 and December 31, 2024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earnings (loss), net of tax as a separate component of the condensed consolidated statements of stockholders' equity and is reclassified into revenues or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(loss) of the condensed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euro-denominated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18,974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(4,386)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net investment hedges,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14,588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March 31, 2025 and December 31,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March 31, 2025 and December 31, 2024, was $2,556,282 and $2,492,535, respectively. The estimated fair value of long-term debt is based on quoted market prices for similar instruments and is, therefore, classified as Level 2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short-term borrowings approximate their fair values as of March 31, 2025 and December 31, 2024 due to the short-term nature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2025 and 2024 were 19.0% and 20.7%, respectively. The decrease in the effective tax rate for the three months ended March 31, 2025 relative to the prior year comparable period was primarily driven by a gain on disposition in the prior year.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$3,699.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Equity Incentive Program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three months ended March 31, 2025, the Company issued stock-settled appreciation rights ("SARs") covering 282,917 shares, performance share awards ("PSAs") of 34,458 and restricted stock units ("RSUs") of 57,614. During the three months ended March 31, 2024, the Company issued SARs covering 348,324 shares, PSAs of 42,536 and RSUs of 79,821.</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PSAs granted in 2025 and 2024 vest based on the attainment of two equally weighted measures: (i) Dover’s performance relative to established internal metrics (performance condition) and (ii) Dover's performance relative to its peer group (companies listed under the S&amp;P 500 Industrials sector; market condition).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fair value per share at the date of grant for the 2025 performance condition portion is $202.33.</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grant date fair value of the 2025 and 2024 market condition portion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0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PSAs</w:t>
            </w:r>
          </w:p>
        </w:tc>
        <w:tc>
          <w:tcPr>
            <w:tcW w:w="118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23.30 %</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$287.62</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and vesting periods for all 2025 and 2024 PSAs is three years.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 which was $202.33 and $160.11 for RSUs granted in 2025 and 2024,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23,874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14,690</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(2,504)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(1,600)</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13,090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there was no pre-tax stock-based compensation expense attributable to discontinued operations and for the three months ended March 31, 2024, there was $469 of expense. These expenses were included within stock-based compensation expense in the condensed consolidated statements of stockholders' equity. See Note 4 — Discontinued and Disposed Operations for further details.</w:t>
      </w:r>
    </w:p>
    <w:p>
      <w:pPr>
        <w:spacing w:after="0" w:line="199" w:lineRule="exact"/>
        <w:rPr>
          <w:sz w:val="20"/>
          <w:szCs w:val="20"/>
          <w:color w:val="auto"/>
        </w:rPr>
      </w:pPr>
    </w:p>
    <w:p>
      <w:pPr>
        <w:ind w:right="7820" w:firstLine="8"/>
        <w:spacing w:after="0" w:line="534" w:lineRule="auto"/>
        <w:tabs>
          <w:tab w:leader="none" w:pos="270" w:val="left"/>
        </w:tabs>
        <w:numPr>
          <w:ilvl w:val="0"/>
          <w:numId w:val="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Commitments and Contingent Liabilities </w:t>
      </w:r>
      <w:r>
        <w:rPr>
          <w:rFonts w:ascii="Times New Roman" w:cs="Times New Roman" w:eastAsia="Times New Roman" w:hAnsi="Times New Roman"/>
          <w:sz w:val="18"/>
          <w:szCs w:val="18"/>
          <w:b w:val="1"/>
          <w:bCs w:val="1"/>
          <w:color w:val="auto"/>
        </w:rPr>
        <w:t>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March 31, 2025 and December 31, 2024, these estimated liabilities for environmental and other matters, including private party claims for exposure to hazardous substances that are probable and estimable, were not significant.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March 31, 2025 and December 31, 2024,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March 31,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Other Comprehensive Earnings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earnings (loss) to earnings during the three months ended March 31,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6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reclassified into earnings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Foreign currency translation losses were recognized in gain on dispositions within the condensed consolidated statements of earnings as a result of the disposition of De-Sta-Co.</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and credits in other income, net within the condensed consolidated statements of earnings.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("GEC"), in making resource allocation decisions and evaluating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five reportable segments are as follows:</w:t>
      </w:r>
    </w:p>
    <w:p>
      <w:pPr>
        <w:spacing w:after="0" w:line="252"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to the vehicle aftermarket,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transfer connectors, highly engineered precision components, instruments and digital controls for rotating and reciprocating machines, and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segment earnings to evaluate segment performance and allocate resources. Segment earnings is defined as earnings before purchase accounting expenses, restructuring and other costs (benefits), loss (gain) on dispositions,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were as follows: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8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465,729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364,292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8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Adjusted cost of goods and services:</w:t>
            </w:r>
            <w:r>
              <w:rPr>
                <w:rFonts w:ascii="Times New Roman" w:cs="Times New Roman" w:eastAsia="Times New Roman" w:hAnsi="Times New Roman"/>
                <w:sz w:val="20"/>
                <w:szCs w:val="20"/>
                <w:b w:val="1"/>
                <w:bCs w:val="1"/>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08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adjusted segment cost of goods and services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808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selling, general and administrative expenses:</w:t>
            </w:r>
            <w:r>
              <w:rPr>
                <w:rFonts w:ascii="Times New Roman" w:cs="Times New Roman" w:eastAsia="Times New Roman" w:hAnsi="Times New Roman"/>
                <w:sz w:val="18"/>
                <w:szCs w:val="18"/>
                <w:b w:val="1"/>
                <w:bCs w:val="1"/>
                <w:color w:val="auto"/>
                <w:vertAlign w:val="superscript"/>
              </w:rPr>
              <w:t>(2)</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12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39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37,452</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50,126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segment selling, general and administrative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bottom w:val="single" w:sz="8" w:color="CCEEFF"/>
            </w:tcBorders>
            <w:gridSpan w:val="5"/>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08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00" w:hanging="168"/>
        <w:spacing w:after="0"/>
        <w:tabs>
          <w:tab w:leader="none" w:pos="5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cost of goods and services exclude expenses related to purchase accounting and restructuring and other costs.</w:t>
      </w:r>
    </w:p>
    <w:p>
      <w:pPr>
        <w:ind w:left="340" w:hanging="8"/>
        <w:spacing w:after="0" w:line="215" w:lineRule="auto"/>
        <w:tabs>
          <w:tab w:leader="none" w:pos="5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selling, general and administrative expenses exclude expenses related to purchase accounting, restructuring and other costs, gain on dispositions and include other income, net.</w:t>
      </w:r>
    </w:p>
    <w:p>
      <w:pPr>
        <w:ind w:left="500" w:hanging="168"/>
        <w:spacing w:after="0" w:line="201" w:lineRule="auto"/>
        <w:tabs>
          <w:tab w:leader="none" w:pos="5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92" w:lineRule="exact"/>
        <w:rPr>
          <w:sz w:val="20"/>
          <w:szCs w:val="20"/>
          <w:color w:val="auto"/>
        </w:rPr>
      </w:pPr>
    </w:p>
    <w:p>
      <w:pPr>
        <w:ind w:left="340" w:hanging="8"/>
        <w:spacing w:after="0" w:line="225" w:lineRule="auto"/>
        <w:tabs>
          <w:tab w:leader="none" w:pos="51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7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18,655</w:t>
            </w:r>
          </w:p>
        </w:tc>
      </w:tr>
      <w:tr>
        <w:trPr>
          <w:trHeight w:val="21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5,316</w:t>
            </w: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00" w:hanging="168"/>
        <w:spacing w:after="0"/>
        <w:tabs>
          <w:tab w:leader="none" w:pos="50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 on dispositions, including post-closing adjustments; see Note 4 — Discontinued and Disposed Operations for further details.</w:t>
      </w:r>
    </w:p>
    <w:p>
      <w:pPr>
        <w:spacing w:after="0" w:line="10" w:lineRule="exact"/>
        <w:rPr>
          <w:rFonts w:ascii="Times New Roman" w:cs="Times New Roman" w:eastAsia="Times New Roman" w:hAnsi="Times New Roman"/>
          <w:sz w:val="21"/>
          <w:szCs w:val="21"/>
          <w:color w:val="auto"/>
          <w:vertAlign w:val="superscript"/>
        </w:rPr>
      </w:pPr>
    </w:p>
    <w:p>
      <w:pPr>
        <w:jc w:val="both"/>
        <w:ind w:left="340" w:hanging="8"/>
        <w:spacing w:after="0" w:line="245" w:lineRule="auto"/>
        <w:tabs>
          <w:tab w:leader="none" w:pos="489"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4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9"/>
        </w:trPr>
        <w:tc>
          <w:tcPr>
            <w:tcW w:w="20" w:type="dxa"/>
            <w:vAlign w:val="bottom"/>
            <w:shd w:val="clear" w:color="auto" w:fill="CCEEFF"/>
          </w:tcPr>
          <w:p>
            <w:pPr>
              <w:spacing w:after="0"/>
              <w:rPr>
                <w:sz w:val="16"/>
                <w:szCs w:val="16"/>
                <w:color w:val="auto"/>
              </w:rPr>
            </w:pPr>
          </w:p>
        </w:tc>
        <w:tc>
          <w:tcPr>
            <w:tcW w:w="77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Segment earnings margins:</w:t>
            </w: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5660" w:type="dxa"/>
            <w:vAlign w:val="bottom"/>
            <w:tcBorders>
              <w:top w:val="single" w:sz="8" w:color="CCEEFF"/>
            </w:tcBorders>
            <w:gridSpan w:val="2"/>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17.3 %</w:t>
            </w: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18.8 %</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17.4 %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15.7 %</w:t>
            </w:r>
          </w:p>
        </w:tc>
      </w:tr>
      <w:tr>
        <w:trPr>
          <w:trHeight w:val="229"/>
        </w:trPr>
        <w:tc>
          <w:tcPr>
            <w:tcW w:w="20" w:type="dxa"/>
            <w:vAlign w:val="bottom"/>
          </w:tcPr>
          <w:p>
            <w:pPr>
              <w:spacing w:after="0"/>
              <w:rPr>
                <w:sz w:val="19"/>
                <w:szCs w:val="19"/>
                <w:color w:val="auto"/>
              </w:rPr>
            </w:pPr>
          </w:p>
        </w:tc>
        <w:tc>
          <w:tcPr>
            <w:tcW w:w="7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4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27.7 %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25.3 %</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30.6 %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25.5 %</w:t>
            </w:r>
          </w:p>
        </w:tc>
      </w:tr>
      <w:tr>
        <w:trPr>
          <w:trHeight w:val="229"/>
        </w:trPr>
        <w:tc>
          <w:tcPr>
            <w:tcW w:w="20" w:type="dxa"/>
            <w:vAlign w:val="bottom"/>
          </w:tcPr>
          <w:p>
            <w:pPr>
              <w:spacing w:after="0"/>
              <w:rPr>
                <w:sz w:val="19"/>
                <w:szCs w:val="19"/>
                <w:color w:val="auto"/>
              </w:rPr>
            </w:pPr>
          </w:p>
        </w:tc>
        <w:tc>
          <w:tcPr>
            <w:tcW w:w="7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4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13.9 %</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22.0 %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77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Other depreciation and amortization:</w:t>
            </w:r>
            <w:r>
              <w:rPr>
                <w:rFonts w:ascii="Times New Roman" w:cs="Times New Roman" w:eastAsia="Times New Roman" w:hAnsi="Times New Roman"/>
                <w:sz w:val="23"/>
                <w:szCs w:val="23"/>
                <w:color w:val="auto"/>
                <w:vertAlign w:val="superscript"/>
              </w:rPr>
              <w:t>(7)</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4,785</w:t>
            </w:r>
          </w:p>
        </w:tc>
      </w:tr>
      <w:tr>
        <w:trPr>
          <w:trHeight w:val="230"/>
        </w:trPr>
        <w:tc>
          <w:tcPr>
            <w:tcW w:w="20" w:type="dxa"/>
            <w:vAlign w:val="bottom"/>
          </w:tcPr>
          <w:p>
            <w:pPr>
              <w:spacing w:after="0"/>
              <w:rPr>
                <w:sz w:val="19"/>
                <w:szCs w:val="19"/>
                <w:color w:val="auto"/>
              </w:rPr>
            </w:pPr>
          </w:p>
        </w:tc>
        <w:tc>
          <w:tcPr>
            <w:tcW w:w="7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4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7,921</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3,733</w:t>
            </w:r>
          </w:p>
        </w:tc>
      </w:tr>
      <w:tr>
        <w:trPr>
          <w:trHeight w:val="230"/>
        </w:trPr>
        <w:tc>
          <w:tcPr>
            <w:tcW w:w="20" w:type="dxa"/>
            <w:vAlign w:val="bottom"/>
          </w:tcPr>
          <w:p>
            <w:pPr>
              <w:spacing w:after="0"/>
              <w:rPr>
                <w:sz w:val="19"/>
                <w:szCs w:val="19"/>
                <w:color w:val="auto"/>
              </w:rPr>
            </w:pPr>
          </w:p>
        </w:tc>
        <w:tc>
          <w:tcPr>
            <w:tcW w:w="7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4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12,601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12,139</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7,325</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7,275</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depreciation and amortization</w:t>
            </w:r>
          </w:p>
        </w:tc>
        <w:tc>
          <w:tcPr>
            <w:tcW w:w="104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37,397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35,853</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1,731</w:t>
            </w: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 included in purchase accounting expenses and restructuring and other</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48,181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44,187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depreciation and amortization 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87,418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81,771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8"/>
        <w:spacing w:after="0" w:line="225" w:lineRule="auto"/>
        <w:tabs>
          <w:tab w:leader="none" w:pos="502"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depreciation and amortization relates to property, plant, and equipment and intangibles, and excludes amounts related to purchase accounting expenses and restructuring and other costs.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3"/>
        </w:trPr>
        <w:tc>
          <w:tcPr>
            <w:tcW w:w="20" w:type="dxa"/>
            <w:vAlign w:val="bottom"/>
          </w:tcPr>
          <w:p>
            <w:pPr>
              <w:spacing w:after="0"/>
              <w:rPr>
                <w:sz w:val="15"/>
                <w:szCs w:val="15"/>
                <w:color w:val="auto"/>
              </w:rPr>
            </w:pPr>
          </w:p>
        </w:tc>
        <w:tc>
          <w:tcPr>
            <w:tcW w:w="79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240" w:type="dxa"/>
            <w:vAlign w:val="bottom"/>
          </w:tcPr>
          <w:p>
            <w:pPr>
              <w:spacing w:after="0"/>
              <w:rPr>
                <w:sz w:val="15"/>
                <w:szCs w:val="15"/>
                <w:color w:val="auto"/>
              </w:rPr>
            </w:pPr>
          </w:p>
        </w:tc>
        <w:tc>
          <w:tcPr>
            <w:tcW w:w="13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r>
      <w:tr>
        <w:trPr>
          <w:trHeight w:val="230"/>
        </w:trPr>
        <w:tc>
          <w:tcPr>
            <w:tcW w:w="20" w:type="dxa"/>
            <w:vAlign w:val="bottom"/>
          </w:tcPr>
          <w:p>
            <w:pPr>
              <w:spacing w:after="0"/>
              <w:rPr>
                <w:sz w:val="19"/>
                <w:szCs w:val="19"/>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30"/>
        </w:trPr>
        <w:tc>
          <w:tcPr>
            <w:tcW w:w="20" w:type="dxa"/>
            <w:vAlign w:val="bottom"/>
          </w:tcPr>
          <w:p>
            <w:pPr>
              <w:spacing w:after="0"/>
              <w:rPr>
                <w:sz w:val="19"/>
                <w:szCs w:val="19"/>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r>
      <w:tr>
        <w:trPr>
          <w:trHeight w:val="230"/>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Selected financial information by segment (continued):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1,063,292</w:t>
            </w:r>
          </w:p>
        </w:tc>
      </w:tr>
      <w:tr>
        <w:trPr>
          <w:trHeight w:val="229"/>
        </w:trPr>
        <w:tc>
          <w:tcPr>
            <w:tcW w:w="2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3,601,573</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1,749,028</w:t>
            </w:r>
          </w:p>
        </w:tc>
      </w:tr>
      <w:tr>
        <w:trPr>
          <w:trHeight w:val="230"/>
        </w:trPr>
        <w:tc>
          <w:tcPr>
            <w:tcW w:w="2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2,613,405</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1,293,132</w:t>
            </w:r>
          </w:p>
        </w:tc>
      </w:tr>
      <w:tr>
        <w:trPr>
          <w:trHeight w:val="229"/>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ind w:left="4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(8)</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Corporate assets are comprised primarily of cash and cash equivalents.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3"/>
        </w:trPr>
        <w:tc>
          <w:tcPr>
            <w:tcW w:w="20" w:type="dxa"/>
            <w:vAlign w:val="bottom"/>
          </w:tcPr>
          <w:p>
            <w:pPr>
              <w:spacing w:after="0"/>
              <w:rPr>
                <w:sz w:val="15"/>
                <w:szCs w:val="15"/>
                <w:color w:val="auto"/>
              </w:rPr>
            </w:pPr>
          </w:p>
        </w:tc>
        <w:tc>
          <w:tcPr>
            <w:tcW w:w="79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 by geography</w:t>
            </w:r>
          </w:p>
        </w:tc>
        <w:tc>
          <w:tcPr>
            <w:tcW w:w="240" w:type="dxa"/>
            <w:vAlign w:val="bottom"/>
          </w:tcPr>
          <w:p>
            <w:pPr>
              <w:spacing w:after="0"/>
              <w:rPr>
                <w:sz w:val="15"/>
                <w:szCs w:val="15"/>
                <w:color w:val="auto"/>
              </w:rPr>
            </w:pPr>
          </w:p>
        </w:tc>
        <w:tc>
          <w:tcPr>
            <w:tcW w:w="13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1,014,676</w:t>
            </w:r>
          </w:p>
        </w:tc>
      </w:tr>
      <w:tr>
        <w:trPr>
          <w:trHeight w:val="229"/>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432,896</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203,064</w:t>
            </w:r>
          </w:p>
        </w:tc>
      </w:tr>
      <w:tr>
        <w:trPr>
          <w:trHeight w:val="230"/>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162,123</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70,960</w:t>
            </w:r>
          </w:p>
        </w:tc>
      </w:tr>
      <w:tr>
        <w:trPr>
          <w:trHeight w:val="223"/>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1,866,059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1,883,719</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the U.S. was the largest geographical market for revenue for the Engineered Products, Clean Energy &amp; Fueling, Pumps &amp; Process Solutions, and Climate &amp; Sustainability Technologies segments, and Europe was the largest market for the Imaging &amp; Identification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 $500,000 accelerated share repurchase agreement (the "ASR Agreement") with Citibank, N.A. ("Citibank") to repurchase its shares in an accelerated share repurchase program (the "ASR Program"). Shares repurchased under the ASR Program are classified as equity, initially recorded at fair value with no subsequent remeasurement. The Company conducted the ASR Program under the current share repurchase authorization. The Company funded the ASR Program with net proceeds from commercial paper.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ASR Agreement, the Company paid Citibank $500,000 on March 1, 2024 and on that date received initial delivery of 2,569,839 shares, representing a substantial majority of the shares expected to be retired over the course of the ASR Agreement. In July 2024, Citibank delivered 299,443 additional shares which completed the ASR Program totaling 2,869,282 repurchased shares. The total number of shares ultimately repurchased under the ASR Agreement was based on the volume-weighted average share price of Dover's common stock during the calculation period of the ASR Program, less a discount, which was $174.26 over the term of the ASR Program.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the Company repurchased 200,000 shares at a total cost of $40,700, or $203.50 per share. Exclusive of the ASR program, there were no share repurchases during the three months ended March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16,930,718 shares remain authorized for repurchase under the August 2023 share repurchase authorization.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18. Earnings per Share</w:t>
            </w:r>
          </w:p>
        </w:tc>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602,102</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net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30,119</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632,221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8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9"/>
        </w:trPr>
        <w:tc>
          <w:tcPr>
            <w:tcW w:w="8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139,051,000</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139,869,000</w:t>
            </w:r>
          </w:p>
        </w:tc>
        <w:tc>
          <w:tcPr>
            <w:tcW w:w="0" w:type="dxa"/>
            <w:vAlign w:val="bottom"/>
          </w:tcPr>
          <w:p>
            <w:pPr>
              <w:spacing w:after="0"/>
              <w:rPr>
                <w:sz w:val="1"/>
                <w:szCs w:val="1"/>
                <w:color w:val="auto"/>
              </w:rPr>
            </w:pPr>
          </w:p>
        </w:tc>
      </w:tr>
      <w:tr>
        <w:trPr>
          <w:trHeight w:val="55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139,051,000</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818,000</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139,869,000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number of anti-dilutive potential common shares excluded from the calculation above were approximately 42,000 and 107,000 for the three months ended March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19.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Early adoption is permitted. The Company is currently evaluating this ASU to determine its impact on the Company's disclosures.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Liabilities-Supplier Finance Programs ("SCF")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was adopted when it became effective January 1, 2024. The adoption did not have a material impact on the Company's condensed consolidated financial statements.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Outstanding payments related to the SCF program are recorded within accounts payable in our condensed consolidated balance sheets. Amounts due to the SCF financial institutions as of March 31, 2025 and December 31, 2024 were approximately $122,413 and $156,973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amendment requires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amendments are effective for fiscal years beginning after December 15, 2023, and for interim periods within fiscal years beginning after December 15, 2024. Early adoption is permitted. The Company adopted the guidance during fiscal year 2024 and for the interim period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section below entitled "Special Note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52"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and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2025, revenue was $1.9 billion, which decreased $17.7 million, or 0.9%, as compared to the first quarter of 2024. This was due to disposition-related decline of 2.7% and an unfavorable impact from foreign currency translation of 1.1%, partially offset by acquisition-related revenue growth of 2.4% and organic revenue growth of 0.5%. The disposition-related decline was due to the sale of De-Sta-Co and was partially offset by acquisition-related growth primarily in our Clean Energy &amp; Fueling segment.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0.5% organic revenue growth for the first quarter of 2025 was driven by our Pumps &amp; Process Solutions, Imaging &amp; Identification and Clean Energy &amp; Fueling segments which grew 6.5%, 3.9%, and 1.8%, respectively. The growth was partially offset by the Engineered Products and Climate &amp; Sustainability Technologies segments which declined 8.0% and 3.7%, respectively. For further information, see "Segment Results of Operations" within this Item 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decreased 0.2% in the first quarter of 2025 compared to the prior year comparable quarter, due to decreased organic revenue in the Engineered Products segment. Organic revenue increased for Asia and Other Americas by 8.0% and 0.6%, respectively and decreased for Europe by 3.5%.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Bookings were $2.0 billion for the three months ended March 31, 2025, a decrease of $16.3 million or 0.8% compared to the prior year comparable quarter. Included in this result was disposition-related decline of 2.6% and an unfavorable impact from foreign currency translation of 1.1%, partially offset by acquisition-related growth of 2.4% and organic growth of 0.5%. The organic bookings growth was primarily driven by broad-based strength within the Clean Energy &amp; Fueling segment and robust order rates in biopharmaceutical and data center liquid cooling applications in our Pumps &amp; Process Solutions segment.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and other costs for the three months ended March 31, 2025 were $9.4 million which included restructuring charges of $8.3 million and other costs of $1.1 million. Restructuring and other costs were generally related to headcount reductions and exit costs across the segments. For further discussion related to our restructuring and other costs, see "Restructuring and Other Costs (Benefits)," within this Item 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completed one business acquisition for approximately $29.3 million, subject to post-closing adjustments. See Note 3 — Acquisitions in the condensed consolidated financial statements in Item 1 of this Form 10-Q for further details.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200,000 shares at a total cost of $40.7 million, or $203.50 per share. As of March 31, 2025, 16,930,718 shares remain authorized for repurchase under the August 2023 share repurchase authorization.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82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69"/>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figures)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auto"/>
            </w:tcBorders>
            <w:gridSpan w:val="2"/>
            <w:vMerge w:val="continue"/>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1,866,059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1,883,719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1,120,559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1,186,532</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745,500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697,187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37.0 %</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3.0</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449,191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442,981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as a percent of revenue</w:t>
            </w:r>
          </w:p>
        </w:tc>
        <w:tc>
          <w:tcPr>
            <w:tcW w:w="1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24.1 %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23.5 %</w:t>
            </w:r>
          </w:p>
        </w:tc>
        <w:tc>
          <w:tcPr>
            <w:tcW w:w="134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0.6</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296,309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254,206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36,365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(4,756)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325.9 %</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(529,943)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5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295,381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759,679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157,577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19.0 %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134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602,102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1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30,119</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536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5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230,821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632,221</w:t>
            </w:r>
          </w:p>
        </w:tc>
        <w:tc>
          <w:tcPr>
            <w:tcW w:w="13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from continuing operations - diluted</w:t>
            </w:r>
          </w:p>
        </w:tc>
        <w:tc>
          <w:tcPr>
            <w:tcW w:w="1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4"/>
        </w:trPr>
        <w:tc>
          <w:tcPr>
            <w:tcW w:w="3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jc w:val="right"/>
              <w:ind w:right="1155"/>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8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2025 decreased $17.7 million, or 0.9%, from the prior year comparable quarter. The decrease in revenue was due to disposition-related decline of 2.7% and an unfavorable impact from foreign currency translation of 1.1%, partially offset by acquisition-related growth of 2.4% and organic revenue growth of 0.5%. Customer pricing favorably impacted revenue by approximately 1.3% in the first quarter of 2025 and by 1.5% in the prior year comparable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2025 increased $48.3 million, or 6.9%, and gross profit margin increased 300 basis points to 40.0%, versus the prior year comparable quarter. The gross profit margin increase was driven by strategic pricing, positive product mix and productivity and cost 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2025 increased $6.2 million, or 1.4%, from the prior year comparable quarter, primarily due to increases in acquisition-related amortization expense and employee compensation and benefits, partially offset by lower restructuring costs. As a percentage of revenue, selling, general and administrative expenses increased 60 basis points as compared to the prior year comparable quarter to 24.1%.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$37.5 million and $36.1 million for the three months ended March 31, 2025 and 2024. The costs as a percentage of revenue are 2.0% for the three months ended March 31, 2025 and 1.9% for the three months ended March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Items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interest expense, net of interest income, decreased $24.3 million, or 76.7%, to $7.4 million compared to the prior year comparable quarter primarily due to increased interest income generated by the proceeds from the sale of ESG held in highly liquid short-term investments and reduced interest expense resulting from a lack of commercial paper borrowings.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dispositions amounted to $2.5 million and $529.9 million for the three months ended March 31, 2025 and 2024, respectively. The 2024 gain on disposition was driven by the sale of the De-Sta-Co business on March 31, 2024. See Note 4 — Discontinued and Disposed Operations in the condensed consolidated financial statements in Item 1 of this Form 10-Q for additional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2025 and 2024 were 19.0% and 20.7%, respectively. The decrease in the effective tax rate for the three months ended March 31, 2025 relative to the prior year comparable quarter was primarily due to a gain on disposition in the prior year.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continuing to monitor the changes in tax laws resulting from the Organization for Economic Cooperation and Development’s multi-jurisdictional plan of action to address base erosion and profit shifting. We do not expect this to have a material impact on our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Income Taxes in the condensed consolidated financial statements in Item 1 of this Form 10-Q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continuing operations for the three months ended March 31, 2025 decreased 60.3% to $239.2 million, or $1.73 diluted earnings per share from continuing operations, from $602.1 million, or $4.30 diluted earnings per share from continuing operations, in the prior year comparable quarter. The decrease in earnings from continuing operations is due to the after-tax gain on the sale of De-Sta-Co.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discontinued operations, net for the three months ended March 31, 2025 and 2024 amounted to a loss of $8.4 million, and a gain of $30.1 million, respectively. The Company completed the sale of ESG on October 8, 2024. See Note 4 — Discontinued and Disposed Operations in the condensed consolidated financial statements in Item 1 of this Form 10-Q for additional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organic revenue growth, which excludes the impact of foreign currency exchange rates and the impact of acquisitions and divestitures. See "Non-GAAP Disclosures" at the end of this Item 2.</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89"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order trends.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bookings represent bookings excluding the impact of foreign currency exchange rates and the impact of acquisitions and dispositions. This metric is an important measure of performance and an indicator of revenue order trends.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and fluid dispensing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254,646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332,820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44,114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264,538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Compared to the First Quarter 2024</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Engineered Products revenue for the first quarter of 2025 decreased $78.2 million, or 23.5%, as compared to the first quarter of 2024, due to a disposition-related decline of 15.4%, organic decline of 8.0% and an unfavorable impact from foreign currency translation of 0.6%, partially offset by acquisition-related growth of 0.5%. The disposition-related decline was due to the divestiture of De-Sta-Co in the first quarter of 2024. Acquisition-related growth was driven by the acquisition of Criteria Labs, Inc. in the third quarter of 2024. Customer pricing favorably impacted revenue by approximately 1.3% in the first quarter of 2025 and 0.8% in the prior year comparable quarter.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revenue decline was primarily due to lower volumes in our North America vehicle service business and order timing within aerospace and defense, partially offset by favorable demand trends in our fluid dispensing and industrial winch and hoist businesses. We expect improving sequential performance over the rest of the year due to improving demand trends in several of our key end markets, most notably in our aerospace and defense businesses, as well as improving dynamics in vehicle service business demand.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segment earnings decreased $18.4 million, or 29.5%, compared to the first quarter of 2024. The decrease was primarily due to the divestiture of De-Sta-Co and the negative impact from lower volumes in North America vehicle service and aerospace and defense, partially offset by favorable price versus cost dynamics and benefits from restructuring actions. Segment earnings margin decreased to 17.3% from 18.8% as compared to the prior year comparable quarter.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decreased 19.8% as compared to the prior year comparable quarter, due to a disposition-related decline of 15.8%, organic decline of 4.1% and an unfavorable impact from foreign currency translation of 0.6%, partially offset by acquisition-related growth of 0.7%. The organic bookings decline was due to reduced demand in our vehicle service business, partially offset by strength in aerospace and defense. Segment book-to-bill was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471,610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16"/>
        </w:trPr>
        <w:tc>
          <w:tcPr>
            <w:tcW w:w="7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1"/>
        </w:trPr>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Compared to the First Quarter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revenue for the first quarter of 2025 increased $46.1 million, or 10.4%, as compared to the first quarter of 2024, driven by acquisition-related growth of 9.4% and organic growth of 1.8%, partially offset by an unfavorable foreign currency translation impact of 0.8%. Acquisition-related growth was primarily driven by the acquisition of Marshall Excelsior Company in the third quarter of 2024. Customer pricing favorably impacted revenue in the first quarter of 2025 by approximately 1.4% and by 2.8% in the prior year comparable quarter.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and favorable demand trends in our below-ground retail fueling and clean energy components businesses. We expect demand conditions to remain constructive across end markets the rest of the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Clean Energy &amp; Fueling segment earnings increased $16.0 million, or 22.9%, over the prior year comparable quarter. The increase was primarily driven by strategic pricing, the favorable impact from acquisitions, productivity initiatives and the benefits from restructuring actions, partially offset by inflationary costs. Segment earnings margin increased to 17.4% from 15.7% as compared to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increased 15.3% as compared to the prior year comparable quarter, driven by acquisition-related growth of 9.1% and organic growth of 7.5%, partially offset by an unfavorable impact from foreign currency translation of 1.3%. The organic bookings growth was primarily driven by North America above and below-ground retail fueling equipment and our clean energy platforms. Segment book-to-bill was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278,433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Compared to the First Quarter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revenue for the first quarter of 2025 increased $3.3 million, or 1.2%, as compared to the first quarter of 2024, driven by organic growth of 3.9% and acquisition-related growth of 0.3%, partially offset by an unfavorable impact from foreign currency translation of 3.0%. Customer pricing favorably impacted revenue in the first quarter of 2025 by approximately 2.3% and by approximately 3.6% in the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and increased demand for serialization software and marking and coding equipment and consumables, partly offset by lower volumes in digital textile printing. The demand outlook is favorable for the remainder of the year in our marking and coding business as well as in serialization software.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$7.6 million, or 10.9%, over the prior year comparable quarter. The increase was primarily driven by the favorable impact from organic volume growth, pricing actions and productivity initiatives, partially offset by an unfavorable impact from foreign currency translation. Segment earnings margin increased to 27.7% from 25.3% in the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increased 3.5% as compared to the prior year comparable quarter, reflecting organic growth of 5.6% and acquisition-related growth of 0.7%, partially offset by an unfavorable impact from foreign currency translation of 2.8%. The organic bookings growth was primarily driven by increased marking and coding demand, and order intake in serialization software. Segment book-to-bill was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and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465,729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473,632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7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Compared to the First Quarter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Pumps &amp; Process Solutions revenue for the first quarter of 2025 increased $27.8 million, or 6.0%, as compared to the first quarter of 2024, driven by organic growth of 6.5% and acquisition-related growth of 0.2%, partially offset by an unfavorable impact from foreign currency translation of 0.7%. Acquisition-related growth was driven by the acquisition of Cryogenic Machinery Corp. ("Cryo-Mach") in the first quarter of 2025. Customer pricing favorably impacted revenue in the first quarter of 2025 by approximately 1.3% and by approximately 1.4% in the prior year comparable quarter.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revenue growth was primarily driven by robust shipment rates of single-use biopharma components and connectors used in liquid cooling of high performance computers and data center applications, together with solid performance in precision components and industrial pumps, partially offset by expected revenue declines in our plastics and polymer processing solutions business, as customers shift focus to optimizing the significant capacity investments made over the last several years. Our outlook is favorable for the remainder of the year, most notably as it relates to demand for single use biopharma components and thermal connectors.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increased $32.5 million, or 27.4%, over the prior year comparable quarter. The increase was driven by the favorable impact from higher volumes, productivity initiatives, pricing actions and favorable portfolio mix, partially offset by an unfavorable impact from foreign currency translation. Segment earnings margin increased to 30.6% from 25.5% in the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increased 5.4% as compared to the prior year comparable quarter with organic growth of 5.9% and acquisition-related growth of 0.2%, partially offset by an unfavorable impact from foreign currency translation of 0.7%. The organic bookings growth was primarily driven by positive demand trends in biopharmaceutical end market and growth in high performance computing and data center application demand. Segment book-to-bill was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453,086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7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Compared to the First Quarter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Climate &amp; Sustainability Technologies revenue decreased $16.4 million, or 4.5%, as compared to the first quarter of 2024, due to an organic revenue decline of 3.7% and an unfavorable impact from foreign currency translation of 0.8%. Customer pricing favorably impacted revenue in the first quarter of 2025 by approximately 0.2% and unfavorably impacted the prior year comparable quarter by approximately 0.6%.</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organic revenue decline was primarily due to project timing in retail refrigeration, partially offset by continued strong demand for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and improving demand across heat exchanger applications. We expect improvement as we move through 2025, as solid demand in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continues, demand for heat exchangers in data center cooling applications accelerates, and demand headwinds in both beverage can-making equipment and European residential heat pumps abates.</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$1.4 million, or 2.7%, as compared to the first quarter of 2024. The segment earnings increase was primarily driven by productivity initiatives and cost actions across businesses, as well as the favorable mix impact from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growth in retail refrigeration, partially offset by the unfavorable impact from lower volumes. Segment earnings margin increased to 15.0% from 13.9% in the prior year comparable quarter.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in the first quarter of 2025 decreased 12.7% from the prior year comparable quarter, due to an organic decline of 12.1% and an unfavorable impact from foreign currency translation of 0.6%. The organic bookings decline was primarily due to order timing in retail refrigeration, partially offset by favorable heat exchanger demand trends. Segment book-to-bill was 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Earnings from Continuing Operations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62,532</w:t>
            </w:r>
          </w:p>
        </w:tc>
      </w:tr>
      <w:tr>
        <w:trPr>
          <w:trHeight w:val="229"/>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69,675</w:t>
            </w:r>
          </w:p>
        </w:tc>
      </w:tr>
      <w:tr>
        <w:trPr>
          <w:trHeight w:val="230"/>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69,959</w:t>
            </w:r>
          </w:p>
        </w:tc>
      </w:tr>
      <w:tr>
        <w:trPr>
          <w:trHeight w:val="229"/>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118,737</w:t>
            </w:r>
          </w:p>
        </w:tc>
      </w:tr>
      <w:tr>
        <w:trPr>
          <w:trHeight w:val="22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371,662</w:t>
            </w: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w:t>
            </w:r>
          </w:p>
        </w:tc>
      </w:tr>
      <w:tr>
        <w:trPr>
          <w:trHeight w:val="230"/>
        </w:trPr>
        <w:tc>
          <w:tcPr>
            <w:tcW w:w="7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23,971</w:t>
            </w: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(529,943)</w:t>
            </w:r>
          </w:p>
        </w:tc>
      </w:tr>
      <w:tr>
        <w:trPr>
          <w:trHeight w:val="230"/>
        </w:trPr>
        <w:tc>
          <w:tcPr>
            <w:tcW w:w="7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42,159</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36,365</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759,679</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157,577</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602,102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acquired intangible assets.</w:t>
      </w:r>
    </w:p>
    <w:p>
      <w:pPr>
        <w:spacing w:after="0" w:line="10" w:lineRule="exact"/>
        <w:rPr>
          <w:rFonts w:ascii="Times New Roman" w:cs="Times New Roman" w:eastAsia="Times New Roman" w:hAnsi="Times New Roman"/>
          <w:sz w:val="21"/>
          <w:szCs w:val="21"/>
          <w:color w:val="auto"/>
          <w:vertAlign w:val="superscript"/>
        </w:rPr>
      </w:pPr>
    </w:p>
    <w:p>
      <w:pPr>
        <w:ind w:left="180" w:hanging="172"/>
        <w:spacing w:after="0" w:line="187" w:lineRule="auto"/>
        <w:tabs>
          <w:tab w:leader="none" w:pos="1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w:t>
      </w:r>
    </w:p>
    <w:p>
      <w:pPr>
        <w:ind w:left="180" w:hanging="172"/>
        <w:spacing w:after="0" w:line="191" w:lineRule="auto"/>
        <w:tabs>
          <w:tab w:leader="none" w:pos="1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 on dispositions, including post-closing adjustments; see Note 4 — Discontinued and Disposed Operations in the condensed consolidated financial statements in Item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of this Form 10-Q for further details.</w:t>
      </w:r>
    </w:p>
    <w:p>
      <w:pPr>
        <w:spacing w:after="0" w:line="2" w:lineRule="exact"/>
        <w:rPr>
          <w:sz w:val="20"/>
          <w:szCs w:val="20"/>
          <w:color w:val="auto"/>
        </w:rPr>
      </w:pPr>
    </w:p>
    <w:p>
      <w:pPr>
        <w:jc w:val="both"/>
        <w:ind w:firstLine="8"/>
        <w:spacing w:after="0" w:line="231" w:lineRule="auto"/>
        <w:tabs>
          <w:tab w:leader="none" w:pos="182"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and other costs are not presented in our segment earnings because these costs are excluded from the segment operating performance measure reviewed by management. During the three months ended March 31, 2025, we incurred restructuring charges of $8.3 million and other costs, net of $1.1 million. Restructuring charges for the three months ended March 31, 2025 were primarily related to headcount reductions and exit costs across the segments. These restructuring programs were initiated in 2024 and 2025 and the Company will continue to make proactive adjustments to its cost structure to align with current demand trends. These restructuring and other charges were recorded in cost of goods and services and selling, general and administrative expenses in the condensed consolidated statements of earnings. Additional programs beyond the scope of the announced programs may be implemented during 2025 with related restructuring and other cost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months ended March 31,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we incurred restructuring charges of $18.7 million and other costs, net of $5.3 million. Restructuring charges for the three months ended March 31, 2024 primarily related to product line exit costs and headcount reductions in the Climate &amp; Sustainability Technologies, Clean Energy &amp; Fueling and Pumps &amp; Process Solutions segments. These restructuring programs were initiated in 2023 and 2024. Other (benefits) costs, net of $5.3 million for the three months ended March 31, 2024, were primarily due to a non-cash asset impairment charge in our Climate &amp; Sustainability Technologies segment. These restructuring and other charges were recorded in cost of goods and services and selling, general and administrative expenses in the condensed consolidated statements of earnings.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months ended March 31,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Purchase accounting expenses primarily relate to amortization of acquired intangible assets. These expenses are not presented in our segment earnings because they are excluded from the segment operating performance measure reviewed by management. These expenses reconcile to segment earnings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r>
      <w:tr>
        <w:trPr>
          <w:trHeight w:val="229"/>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from Operations </w:t>
            </w: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146,456</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432,416</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(80,782)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for the three months ended March 31, 2025 increased by $11.0 million compared to March 31, 2024, primarily driven by higher operating earnings during the quarter.</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receivables, plus inventory, less accounts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meaningful measure of liquidity by showing changes caused by operational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calculation of adjusted working capital:</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1,744,460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1,651,057</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working capital increased by $93.4 million, or 5.7%, in the three months ended March 31, 2025, which reflected an increase of $25.0 million in receivables, net, an increase of $64.5 million in inventory, net and a decrease in accounts payable of $3.9 million. These amounts include the effects of acquisitions, dispositions and foreign currency translation. The change in accounts receivable and payable reflect the timing of payments and collections. The increase in inventories is driven by production planning ahead of higher expected shipment volumes in the next several quarters.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investing activities is derived from cash inflows from proceeds from dispositions, offset by cash outflows for acquisitions and capital expenditures. The majority of the activity in investing activities was comprised of the following:</w:t>
      </w:r>
    </w:p>
    <w:p>
      <w:pPr>
        <w:spacing w:after="0" w:line="187" w:lineRule="exact"/>
        <w:rPr>
          <w:sz w:val="20"/>
          <w:szCs w:val="20"/>
          <w:color w:val="auto"/>
        </w:rPr>
      </w:pPr>
    </w:p>
    <w:p>
      <w:pPr>
        <w:jc w:val="both"/>
        <w:ind w:left="660" w:hanging="328"/>
        <w:spacing w:after="0" w:line="261" w:lineRule="auto"/>
        <w:tabs>
          <w:tab w:leader="none" w:pos="649" w:val="left"/>
        </w:tabs>
        <w:numPr>
          <w:ilvl w:val="0"/>
          <w:numId w:val="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Proceeds from dispositions: </w:t>
      </w:r>
      <w:r>
        <w:rPr>
          <w:rFonts w:ascii="Times New Roman" w:cs="Times New Roman" w:eastAsia="Times New Roman" w:hAnsi="Times New Roman"/>
          <w:sz w:val="18"/>
          <w:szCs w:val="18"/>
          <w:color w:val="auto"/>
        </w:rPr>
        <w:t>During the three months ended March 31, 2025, we received an additional $3.8 million of net proceeds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a minority-owned equity method investment within the Climate &amp; Sustainability Technologies segment. During the three months ended March 31, 2024, we received net proceeds of $611.7 million from the disposition of De-Sta-Co. See Note 4 — Discontinued and Disposed Operations in the condensed consolidated financial statements in Item 1 of this Form 10-Q for further details.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three months ended March 31, 2025, we deployed approximately $29.3 million, net to acquire one business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Pumps &amp; Process Solutions segment. In comparison, during the three months ended March 31, 2024, we deployed approximately $144.9 million, net to acquire three businesses within the Clean Energy &amp; Fueling segment. See Note 3 — Acquisitions in the condensed consolidated financial statements in Item 1 of this Form 10-Q for further details.</w:t>
      </w:r>
    </w:p>
    <w:p>
      <w:pPr>
        <w:spacing w:after="0" w:line="206" w:lineRule="exact"/>
        <w:rPr>
          <w:rFonts w:ascii="Times New Roman" w:cs="Times New Roman" w:eastAsia="Times New Roman" w:hAnsi="Times New Roman"/>
          <w:sz w:val="18"/>
          <w:szCs w:val="18"/>
          <w:b w:val="1"/>
          <w:bCs w:val="1"/>
          <w:i w:val="1"/>
          <w:iCs w:val="1"/>
          <w:color w:val="auto"/>
        </w:rPr>
      </w:pPr>
    </w:p>
    <w:p>
      <w:pPr>
        <w:ind w:left="660" w:hanging="328"/>
        <w:spacing w:after="0" w:line="284"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Capital expenditures increased $8.1 million during the three months ended March 31, 2025,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in line with our planned capital expenditures for the year.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capital expenditures and any additional acquisitions we make through the remainder of 2025 will be funded from available cash and internally generated funds and, if necessary, through the issuance of commercial paper, or by accessing the public debt or equity markets. We estimate capital expenditures in 2025 to range from $170.0 million to $190.0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financing activities generally relates to the use of cash for purchases of our common stock and payment of dividends, offset by net borrowing activity. The majority of financing activity was attributed to the following:</w:t>
      </w:r>
    </w:p>
    <w:p>
      <w:pPr>
        <w:spacing w:after="0" w:line="187" w:lineRule="exact"/>
        <w:rPr>
          <w:sz w:val="20"/>
          <w:szCs w:val="20"/>
          <w:color w:val="auto"/>
        </w:rPr>
      </w:pPr>
    </w:p>
    <w:p>
      <w:pPr>
        <w:jc w:val="both"/>
        <w:ind w:left="660" w:hanging="328"/>
        <w:spacing w:after="0" w:line="239" w:lineRule="auto"/>
        <w:tabs>
          <w:tab w:leader="none" w:pos="647" w:val="left"/>
        </w:tabs>
        <w:numPr>
          <w:ilvl w:val="0"/>
          <w:numId w:val="18"/>
        </w:numPr>
        <w:rPr>
          <w:rFonts w:ascii="Times New Roman" w:cs="Times New Roman" w:eastAsia="Times New Roman" w:hAnsi="Times New Roman"/>
          <w:sz w:val="23"/>
          <w:szCs w:val="23"/>
          <w:b w:val="1"/>
          <w:bCs w:val="1"/>
          <w:i w:val="1"/>
          <w:iCs w:val="1"/>
          <w:color w:val="auto"/>
          <w:vertAlign w:val="superscript"/>
        </w:rPr>
      </w:pPr>
      <w:r>
        <w:rPr>
          <w:rFonts w:ascii="Times New Roman" w:cs="Times New Roman" w:eastAsia="Times New Roman" w:hAnsi="Times New Roman"/>
          <w:sz w:val="18"/>
          <w:szCs w:val="18"/>
          <w:i w:val="1"/>
          <w:iCs w:val="1"/>
          <w:color w:val="auto"/>
        </w:rPr>
        <w:t xml:space="preserve">Repurchase of common stock, including accelerated share repurchase program: </w:t>
      </w:r>
      <w:r>
        <w:rPr>
          <w:rFonts w:ascii="Times New Roman" w:cs="Times New Roman" w:eastAsia="Times New Roman" w:hAnsi="Times New Roman"/>
          <w:sz w:val="18"/>
          <w:szCs w:val="18"/>
          <w:color w:val="auto"/>
        </w:rPr>
        <w:t>During the three months ended March 31, 2025,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repurchased a total of 200,000 shares for $40.7 million. During the three months ended March 31, 2024, the Company used $500.0 million to repurchase 2,569,839 shares on March 1, 2024 under an accelerated share repurchase transaction. See Note 17 — Stockholders' Equity in the condensed consolidated financial statements in Item 1 of this Form 10-Q for further details.</w:t>
      </w:r>
    </w:p>
    <w:p>
      <w:pPr>
        <w:spacing w:after="0" w:line="225" w:lineRule="exact"/>
        <w:rPr>
          <w:rFonts w:ascii="Times New Roman" w:cs="Times New Roman" w:eastAsia="Times New Roman" w:hAnsi="Times New Roman"/>
          <w:sz w:val="23"/>
          <w:szCs w:val="23"/>
          <w:b w:val="1"/>
          <w:bCs w:val="1"/>
          <w:i w:val="1"/>
          <w:iCs w:val="1"/>
          <w:color w:val="auto"/>
          <w:vertAlign w:val="superscript"/>
        </w:rPr>
      </w:pPr>
    </w:p>
    <w:p>
      <w:pPr>
        <w:jc w:val="both"/>
        <w:ind w:left="660" w:hanging="328"/>
        <w:spacing w:after="0" w:line="267" w:lineRule="auto"/>
        <w:tabs>
          <w:tab w:leader="none" w:pos="649"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Commercial paper and other short-term borrowings, net: </w:t>
      </w:r>
      <w:r>
        <w:rPr>
          <w:rFonts w:ascii="Times New Roman" w:cs="Times New Roman" w:eastAsia="Times New Roman" w:hAnsi="Times New Roman"/>
          <w:sz w:val="18"/>
          <w:szCs w:val="18"/>
          <w:color w:val="auto"/>
        </w:rPr>
        <w:t>The Company had no commercial paper borrowings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During the three months ended March 31, 2024, we received net proceeds of $500.7 million from commercial paper borrowings, primarily used to fund our accelerated share repurchase transaction.</w:t>
      </w:r>
    </w:p>
    <w:p>
      <w:pPr>
        <w:spacing w:after="0" w:line="200"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67" w:lineRule="auto"/>
        <w:tabs>
          <w:tab w:leader="none" w:pos="649"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Total dividend payments to common shareholders were $71.4 million during the three months ended March 31,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Our dividends paid per common share increased 1.0% to $0.515 during the three months ended March 31, 2025 compared to $0.51 during the same period in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Discontinued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discontinued operations for the three months ended March 31, 2025 and March 31, 2024 amounted to $(0.9) million and $17.6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157,474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146,456</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(48,192)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(40,050)</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109,282</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106,406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earnings from continuing operations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earnings from continuing operations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we generated free cash flow of $109.3 million, representing 5.9% of revenue and 45.7% of earnings from continuing operations. Free cash flow for the three months ended March 31, 2025 increased $2.9 million, compared to March 31, 2024, primarily driven by higher operating earnings, partially offset by higher capital expenditures. The increases in cash flow from operating activities and free cash flow as percentages of earnings from continuing operations are due primarily to the gain on disposition of De-Sta-Co impacting the prior year. See Note 4 — Discontinued and Disposed Operations in the condensed consolidated financial statements in Item 1 of this Form 10-Q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March 31, 2025, we maintained $1.0 billion five-year and $500.0 million 364-day unsecured revolving credit facilities (together, the "Credit Agreements") with a syndicate of banks which expire April 6, 2028 and expired April 3, 2025, respectively. On April 3, 2025, the Company entered into a new $500.0 million 364-day unsecured revolving credit facility with a syndicate of banks which expires on April 2, 2026. The Company may elect to extend the maturity date of any loans under the new 364-day credit facility until April 2, 2027, subject to conditions specified therein. The Credit Agreements are designated as a liquidity back-stop for the Company's commercial paper program and also are available for general corporate purposes.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1.0. The Company was in compliance with all covenants in the Credit Agreements and other long-term debt covenants at March 31, 2025 and had an interest coverage ratio of consolidated EBITDA to consolidated net interest expense of 49.4 to 1. We are not aware of any potential impairment to our liquidity and expect to remain in compliance with all of our debt covenants.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our cash and cash equivalents totaled $1.8 billion, of which approximately $339.3 million was held outside the United States. At December 31, 2024, our cash and cash equivalents totaled $1.8 billion, of which approximately $300.5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calculation of net debt to net capitalization from the most directly comparable GAAP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Net Capitalization Ratio</w:t>
            </w:r>
          </w:p>
        </w:tc>
        <w:tc>
          <w:tcPr>
            <w:tcW w:w="300" w:type="dxa"/>
            <w:vAlign w:val="bottom"/>
          </w:tcPr>
          <w:p>
            <w:pPr>
              <w:spacing w:after="0"/>
              <w:rPr>
                <w:sz w:val="17"/>
                <w:szCs w:val="17"/>
                <w:color w:val="auto"/>
              </w:rPr>
            </w:pPr>
          </w:p>
        </w:tc>
        <w:tc>
          <w:tcPr>
            <w:tcW w:w="2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7"/>
                <w:szCs w:val="17"/>
                <w:color w:val="auto"/>
              </w:rPr>
            </w:pPr>
          </w:p>
        </w:tc>
        <w:tc>
          <w:tcPr>
            <w:tcW w:w="2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 and other short-term borrowings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400,262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2,572,540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2,972,802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2,929,402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(1,805,320)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(1,844,877)</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1,167,482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1,084,525</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7,137,767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8,305,249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8,038,521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debt to net capitalization ratio increased to 14.1% at March 31, 2025 compared to 13.5% at December 31, 2024. Net debt increased $83.0 million during the period primarily due to the increase in value of the euro-denominated debt resulting from foreign currency translation adjustments and a decrease in cash and cash equivalents. Stockholders' equity increased for the period primarily driven by current earnings of $230.8 million, partially offset by dividends paid for the period.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and access to capital markets are expected to satisfy our various cash flow requirements, including acquisitions, capital expenditures, purchase obligations, and lease obligations. Acquisition spending and/or share repurchases could potentially increase our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existing sources of liquidity are adequate to meet anticipated funding needs at current risk-based interest rates for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2024.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 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2024.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We believe that reporting adjusted working capital provides a meaningful measure of liquidity by showing changes caused by operational results. We believe that reporting organic revenue growth provides a useful comparison of our revenue performance and trends between periods.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and comparisons to non-GAAP measures can be found above in this Item 2,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three months ended March 31, 2025. For a discussion of our exposure to market risk, refer to Item 7A, "Quantitative and Qualitative Disclosures about Market Risk," contained in our Annual Report on Form 10-K for the fiscal year ended December 31,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March 31, 2025.</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there were no changes in the Company's internal control over financial reporting that materially affected, or are reasonably likely to materially affect, the Company's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table presents shares of Dover stock that we acquired during the quarter.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January 1 to January 31</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February 1 to February 28</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March 1 to March 31</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For the First Quarter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175"/>
        </w:trPr>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5"/>
                <w:szCs w:val="15"/>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75"/>
        </w:trPr>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the Plans or</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21"/>
                <w:szCs w:val="21"/>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8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17,130,718</w:t>
            </w:r>
          </w:p>
        </w:tc>
        <w:tc>
          <w:tcPr>
            <w:tcW w:w="0" w:type="dxa"/>
            <w:vAlign w:val="bottom"/>
          </w:tcPr>
          <w:p>
            <w:pPr>
              <w:spacing w:after="0"/>
              <w:rPr>
                <w:sz w:val="1"/>
                <w:szCs w:val="1"/>
                <w:color w:val="auto"/>
              </w:rPr>
            </w:pPr>
          </w:p>
        </w:tc>
      </w:tr>
      <w:tr>
        <w:trPr>
          <w:trHeight w:val="23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16,930,718</w:t>
            </w:r>
          </w:p>
        </w:tc>
        <w:tc>
          <w:tcPr>
            <w:tcW w:w="0" w:type="dxa"/>
            <w:vAlign w:val="bottom"/>
          </w:tcPr>
          <w:p>
            <w:pPr>
              <w:spacing w:after="0"/>
              <w:rPr>
                <w:sz w:val="1"/>
                <w:szCs w:val="1"/>
                <w:color w:val="auto"/>
              </w:rPr>
            </w:pPr>
          </w:p>
        </w:tc>
      </w:tr>
      <w:tr>
        <w:trPr>
          <w:trHeight w:val="234"/>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16,930,718</w:t>
            </w:r>
          </w:p>
        </w:tc>
        <w:tc>
          <w:tcPr>
            <w:tcW w:w="0" w:type="dxa"/>
            <w:vAlign w:val="bottom"/>
          </w:tcPr>
          <w:p>
            <w:pPr>
              <w:spacing w:after="0"/>
              <w:rPr>
                <w:sz w:val="1"/>
                <w:szCs w:val="1"/>
                <w:color w:val="auto"/>
              </w:rPr>
            </w:pPr>
          </w:p>
        </w:tc>
      </w:t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16,930,718</w:t>
            </w:r>
          </w:p>
        </w:tc>
        <w:tc>
          <w:tcPr>
            <w:tcW w:w="0" w:type="dxa"/>
            <w:vAlign w:val="bottom"/>
          </w:tcPr>
          <w:p>
            <w:pPr>
              <w:spacing w:after="0"/>
              <w:rPr>
                <w:sz w:val="1"/>
                <w:szCs w:val="1"/>
                <w:color w:val="auto"/>
              </w:rPr>
            </w:pP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-633730</wp:posOffset>
            </wp:positionV>
            <wp:extent cx="667766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77660" cy="154305"/>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-334010</wp:posOffset>
            </wp:positionV>
            <wp:extent cx="667766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260" w:space="720"/>
            <w:col w:w="7260"/>
          </w:cols>
          <w:pgMar w:left="320" w:top="126" w:right="339" w:bottom="1440" w:gutter="0" w:footer="0" w:header="0"/>
          <w:type w:val="continuous"/>
        </w:sectPr>
      </w:pPr>
    </w:p>
    <w:p>
      <w:pPr>
        <w:jc w:val="both"/>
        <w:ind w:left="340" w:hanging="8"/>
        <w:spacing w:after="0" w:line="239" w:lineRule="auto"/>
        <w:tabs>
          <w:tab w:leader="none" w:pos="527"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 The Company repurchased 200,000 shares under the August 2023 authorization during the three months ended March 31, 2025. As of March 31, 2025, the number of shares still available for repurchase under the current share repurchase authorization was 16,930,718.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None.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 During the three months ended March 31, 2025, no director or Section 16 officer adopted or terminated any Rule 10b5-1 trading arrangements or non-Rule 10b5-1 trading arrangements as defined in Item 408 of Regulation S-K.</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Christopher B. Woenker.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4" w:lineRule="exact"/>
        <w:rPr>
          <w:sz w:val="20"/>
          <w:szCs w:val="20"/>
          <w:color w:val="auto"/>
        </w:rPr>
      </w:pPr>
    </w:p>
    <w:p>
      <w:pPr>
        <w:ind w:left="980" w:hanging="215"/>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Christopher B. Woenker.</w:t>
      </w:r>
    </w:p>
    <w:p>
      <w:pPr>
        <w:spacing w:after="0" w:line="158" w:lineRule="exact"/>
        <w:rPr>
          <w:sz w:val="20"/>
          <w:szCs w:val="20"/>
          <w:color w:val="auto"/>
        </w:rPr>
      </w:pPr>
    </w:p>
    <w:p>
      <w:pPr>
        <w:jc w:val="both"/>
        <w:ind w:left="980" w:hanging="369"/>
        <w:spacing w:after="0" w:line="22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March 31, 2025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24,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24,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240"/>
          </w:cols>
          <w:pgMar w:left="320" w:top="12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Woenker, certify that:</w:t>
      </w:r>
    </w:p>
    <w:p>
      <w:pPr>
        <w:spacing w:after="0" w:line="171" w:lineRule="exact"/>
        <w:rPr>
          <w:sz w:val="20"/>
          <w:szCs w:val="20"/>
          <w:color w:val="auto"/>
        </w:rPr>
      </w:pPr>
    </w:p>
    <w:p>
      <w:pPr>
        <w:ind w:left="500" w:hanging="330"/>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hanging="328"/>
        <w:spacing w:after="0" w:line="28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24,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24,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emdash "/>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4"/>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4"/>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2025-04-24T05:51:23Z</dcterms:created>
  <dcterms:modified xsi:type="dcterms:W3CDTF">2025-04-24T05:51:23Z</dcterms:modified>
</cp:coreProperties>
</file>