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8" w:lineRule="exact"/>
        <w:rPr>
          <w:sz w:val="24"/>
          <w:szCs w:val="24"/>
          <w:color w:val="auto"/>
        </w:rPr>
      </w:pPr>
    </w:p>
    <w:p>
      <w:pPr>
        <w:ind w:left="3840" w:right="1980" w:hanging="3833"/>
        <w:spacing w:after="0" w:line="392" w:lineRule="auto"/>
        <w:tabs>
          <w:tab w:leader="none" w:pos="3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7" w:lineRule="exact"/>
        <w:rPr>
          <w:sz w:val="24"/>
          <w:szCs w:val="24"/>
          <w:color w:val="auto"/>
        </w:rPr>
      </w:pPr>
    </w:p>
    <w:p>
      <w:pPr>
        <w:ind w:left="340" w:hanging="333"/>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2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9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1707515</wp:posOffset>
            </wp:positionH>
            <wp:positionV relativeFrom="paragraph">
              <wp:posOffset>18415</wp:posOffset>
            </wp:positionV>
            <wp:extent cx="3728085" cy="575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28085" cy="575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2580" w:type="dxa"/>
            <w:vAlign w:val="bottom"/>
          </w:tcPr>
          <w:p>
            <w:pPr>
              <w:spacing w:after="0"/>
              <w:rPr>
                <w:sz w:val="20"/>
                <w:szCs w:val="20"/>
                <w:color w:val="auto"/>
              </w:rPr>
            </w:pPr>
          </w:p>
        </w:tc>
        <w:tc>
          <w:tcPr>
            <w:tcW w:w="8680" w:type="dxa"/>
            <w:vAlign w:val="bottom"/>
            <w:gridSpan w:val="3"/>
          </w:tcPr>
          <w:p>
            <w:pPr>
              <w:jc w:val="center"/>
              <w:ind w:right="251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48"/>
        </w:trPr>
        <w:tc>
          <w:tcPr>
            <w:tcW w:w="2580" w:type="dxa"/>
            <w:vAlign w:val="bottom"/>
          </w:tcPr>
          <w:p>
            <w:pPr>
              <w:spacing w:after="0"/>
              <w:rPr>
                <w:sz w:val="21"/>
                <w:szCs w:val="21"/>
                <w:color w:val="auto"/>
              </w:rPr>
            </w:pPr>
          </w:p>
        </w:tc>
        <w:tc>
          <w:tcPr>
            <w:tcW w:w="3820" w:type="dxa"/>
            <w:vAlign w:val="bottom"/>
            <w:gridSpan w:val="2"/>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860" w:type="dxa"/>
            <w:vAlign w:val="bottom"/>
          </w:tcPr>
          <w:p>
            <w:pPr>
              <w:jc w:val="right"/>
              <w:ind w:right="2111"/>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32"/>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86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44"/>
        </w:trPr>
        <w:tc>
          <w:tcPr>
            <w:tcW w:w="64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3005 Highland Parkway</w:t>
            </w:r>
          </w:p>
        </w:tc>
        <w:tc>
          <w:tcPr>
            <w:tcW w:w="4860" w:type="dxa"/>
            <w:vAlign w:val="bottom"/>
          </w:tcPr>
          <w:p>
            <w:pPr>
              <w:spacing w:after="0"/>
              <w:rPr>
                <w:sz w:val="24"/>
                <w:szCs w:val="24"/>
                <w:color w:val="auto"/>
              </w:rPr>
            </w:pPr>
          </w:p>
        </w:tc>
      </w:tr>
      <w:tr>
        <w:trPr>
          <w:trHeight w:val="231"/>
        </w:trPr>
        <w:tc>
          <w:tcPr>
            <w:tcW w:w="64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Downers Grove, Illinois</w:t>
            </w:r>
          </w:p>
        </w:tc>
        <w:tc>
          <w:tcPr>
            <w:tcW w:w="4860" w:type="dxa"/>
            <w:vAlign w:val="bottom"/>
          </w:tcPr>
          <w:p>
            <w:pPr>
              <w:jc w:val="right"/>
              <w:ind w:right="2331"/>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232"/>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486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88"/>
        </w:trPr>
        <w:tc>
          <w:tcPr>
            <w:tcW w:w="2580" w:type="dxa"/>
            <w:vAlign w:val="bottom"/>
          </w:tcPr>
          <w:p>
            <w:pPr>
              <w:spacing w:after="0"/>
              <w:rPr>
                <w:sz w:val="24"/>
                <w:szCs w:val="24"/>
                <w:color w:val="auto"/>
              </w:rPr>
            </w:pPr>
          </w:p>
        </w:tc>
        <w:tc>
          <w:tcPr>
            <w:tcW w:w="3820" w:type="dxa"/>
            <w:vAlign w:val="bottom"/>
            <w:gridSpan w:val="2"/>
          </w:tcPr>
          <w:p>
            <w:pPr>
              <w:jc w:val="center"/>
              <w:ind w:left="2171"/>
              <w:spacing w:after="0"/>
              <w:rPr>
                <w:sz w:val="20"/>
                <w:szCs w:val="20"/>
                <w:color w:val="auto"/>
              </w:rPr>
            </w:pPr>
            <w:r>
              <w:rPr>
                <w:rFonts w:ascii="Times New Roman" w:cs="Times New Roman" w:eastAsia="Times New Roman" w:hAnsi="Times New Roman"/>
                <w:sz w:val="18"/>
                <w:szCs w:val="18"/>
                <w:b w:val="1"/>
                <w:bCs w:val="1"/>
                <w:color w:val="auto"/>
                <w:w w:val="99"/>
              </w:rPr>
              <w:t>(630) 541-1540</w:t>
            </w:r>
          </w:p>
        </w:tc>
        <w:tc>
          <w:tcPr>
            <w:tcW w:w="4860" w:type="dxa"/>
            <w:vAlign w:val="bottom"/>
          </w:tcPr>
          <w:p>
            <w:pPr>
              <w:spacing w:after="0"/>
              <w:rPr>
                <w:sz w:val="24"/>
                <w:szCs w:val="24"/>
                <w:color w:val="auto"/>
              </w:rPr>
            </w:pPr>
          </w:p>
        </w:tc>
      </w:tr>
      <w:tr>
        <w:trPr>
          <w:trHeight w:val="232"/>
        </w:trPr>
        <w:tc>
          <w:tcPr>
            <w:tcW w:w="2580" w:type="dxa"/>
            <w:vAlign w:val="bottom"/>
          </w:tcPr>
          <w:p>
            <w:pPr>
              <w:spacing w:after="0"/>
              <w:rPr>
                <w:sz w:val="20"/>
                <w:szCs w:val="20"/>
                <w:color w:val="auto"/>
              </w:rPr>
            </w:pPr>
          </w:p>
        </w:tc>
        <w:tc>
          <w:tcPr>
            <w:tcW w:w="8680" w:type="dxa"/>
            <w:vAlign w:val="bottom"/>
            <w:gridSpan w:val="3"/>
          </w:tcPr>
          <w:p>
            <w:pPr>
              <w:jc w:val="center"/>
              <w:ind w:right="25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r>
        <w:trPr>
          <w:trHeight w:val="320"/>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6"/>
        </w:trPr>
        <w:tc>
          <w:tcPr>
            <w:tcW w:w="25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0"/>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24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1"/>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20"/>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w:t>
            </w:r>
          </w:p>
        </w:tc>
        <w:tc>
          <w:tcPr>
            <w:tcW w:w="124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7"/>
              </w:rPr>
              <w:t>New York Stock Exchange</w:t>
            </w:r>
          </w:p>
        </w:tc>
      </w:tr>
      <w:tr>
        <w:trPr>
          <w:trHeight w:val="220"/>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1.250% Notes due 2026</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 26</w:t>
            </w:r>
          </w:p>
        </w:tc>
        <w:tc>
          <w:tcPr>
            <w:tcW w:w="124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7"/>
              </w:rPr>
              <w:t>New York Stock Exchange</w:t>
            </w:r>
          </w:p>
        </w:tc>
      </w:tr>
      <w:tr>
        <w:trPr>
          <w:trHeight w:val="220"/>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0.750% Notes due 2027</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 27</w:t>
            </w:r>
          </w:p>
        </w:tc>
        <w:tc>
          <w:tcPr>
            <w:tcW w:w="124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7"/>
              </w:rPr>
              <w:t>New York Stock Exchange</w:t>
            </w:r>
          </w:p>
        </w:tc>
      </w:tr>
      <w:tr>
        <w:trPr>
          <w:trHeight w:val="220"/>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3.500% Notes due 2033</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 33</w:t>
            </w:r>
          </w:p>
        </w:tc>
        <w:tc>
          <w:tcPr>
            <w:tcW w:w="124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235" w:lineRule="exact"/>
        <w:rPr>
          <w:sz w:val="24"/>
          <w:szCs w:val="24"/>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3" w:lineRule="exact"/>
        <w:rPr>
          <w:sz w:val="24"/>
          <w:szCs w:val="24"/>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5" w:lineRule="exact"/>
        <w:rPr>
          <w:sz w:val="24"/>
          <w:szCs w:val="24"/>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3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3820" w:type="dxa"/>
            <w:vAlign w:val="bottom"/>
          </w:tcPr>
          <w:p>
            <w:pPr>
              <w:ind w:left="1260"/>
              <w:spacing w:after="0" w:line="168" w:lineRule="exact"/>
              <w:rPr>
                <w:sz w:val="20"/>
                <w:szCs w:val="20"/>
                <w:color w:val="auto"/>
              </w:rPr>
            </w:pPr>
            <w:r>
              <w:rPr>
                <w:rFonts w:ascii="Times New Roman" w:cs="Times New Roman" w:eastAsia="Times New Roman" w:hAnsi="Times New Roman"/>
                <w:sz w:val="18"/>
                <w:szCs w:val="18"/>
                <w:color w:val="auto"/>
              </w:rPr>
              <w:t>Accelerated Filer</w:t>
            </w:r>
          </w:p>
        </w:tc>
        <w:tc>
          <w:tcPr>
            <w:tcW w:w="940" w:type="dxa"/>
            <w:vAlign w:val="bottom"/>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280"/>
              <w:spacing w:after="0" w:line="168"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19"/>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vMerge w:val="continue"/>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160" w:type="dxa"/>
            <w:vAlign w:val="bottom"/>
            <w:vMerge w:val="continue"/>
          </w:tcPr>
          <w:p>
            <w:pPr>
              <w:spacing w:after="0"/>
              <w:rPr>
                <w:sz w:val="20"/>
                <w:szCs w:val="20"/>
                <w:color w:val="auto"/>
              </w:rPr>
            </w:pPr>
          </w:p>
        </w:tc>
        <w:tc>
          <w:tcPr>
            <w:tcW w:w="38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3" w:lineRule="exact"/>
        <w:rPr>
          <w:sz w:val="24"/>
          <w:szCs w:val="24"/>
          <w:color w:val="auto"/>
        </w:rPr>
      </w:pPr>
    </w:p>
    <w:p>
      <w:pPr>
        <w:ind w:right="2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ind w:right="2120"/>
        <w:spacing w:after="0" w:line="3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April 17, 2026 was 134,661,414.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335280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664"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5"/>
              </w:rPr>
              <w:t>PART I — FINANCIAL INFORMATION</w:t>
            </w:r>
          </w:p>
        </w:tc>
        <w:tc>
          <w:tcPr>
            <w:tcW w:w="7460" w:type="dxa"/>
            <w:vAlign w:val="bottom"/>
            <w:gridSpan w:val="16"/>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Item 1.</w:t>
            </w:r>
          </w:p>
        </w:tc>
        <w:tc>
          <w:tcPr>
            <w:tcW w:w="97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700" w:type="dxa"/>
            <w:vAlign w:val="bottom"/>
            <w:gridSpan w:val="26"/>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for the three months ended March 31, 2026 and 2025</w:t>
            </w: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 for the three months ended March 31, 2026 and 2025</w:t>
            </w: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2026 and December 31, 2025</w:t>
            </w:r>
          </w:p>
        </w:tc>
        <w:tc>
          <w:tcPr>
            <w:tcW w:w="1260" w:type="dxa"/>
            <w:vAlign w:val="bottom"/>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Stockholders’ Equity for the three months ended March 31, 2026 and 2025</w:t>
            </w:r>
          </w:p>
        </w:tc>
        <w:tc>
          <w:tcPr>
            <w:tcW w:w="1540" w:type="dxa"/>
            <w:vAlign w:val="bottom"/>
            <w:gridSpan w:val="2"/>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1540" w:type="dxa"/>
            <w:vAlign w:val="bottom"/>
            <w:gridSpan w:val="2"/>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Note 1 — Basis of Presentation</w:t>
            </w:r>
          </w:p>
        </w:tc>
        <w:tc>
          <w:tcPr>
            <w:tcW w:w="5240" w:type="dxa"/>
            <w:vAlign w:val="bottom"/>
            <w:gridSpan w:val="13"/>
          </w:tcPr>
          <w:p>
            <w:pPr>
              <w:spacing w:after="0"/>
              <w:rPr>
                <w:sz w:val="17"/>
                <w:szCs w:val="17"/>
                <w:color w:val="auto"/>
              </w:rPr>
            </w:pPr>
          </w:p>
        </w:tc>
        <w:tc>
          <w:tcPr>
            <w:tcW w:w="2220" w:type="dxa"/>
            <w:vAlign w:val="bottom"/>
            <w:gridSpan w:val="3"/>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0"/>
              </w:rPr>
              <w:t>Note 2 — Revenue</w:t>
            </w:r>
          </w:p>
        </w:tc>
        <w:tc>
          <w:tcPr>
            <w:tcW w:w="940" w:type="dxa"/>
            <w:vAlign w:val="bottom"/>
            <w:gridSpan w:val="6"/>
          </w:tcPr>
          <w:p>
            <w:pPr>
              <w:spacing w:after="0"/>
              <w:rPr>
                <w:sz w:val="17"/>
                <w:szCs w:val="17"/>
                <w:color w:val="auto"/>
              </w:rPr>
            </w:pPr>
          </w:p>
        </w:tc>
        <w:tc>
          <w:tcPr>
            <w:tcW w:w="7460" w:type="dxa"/>
            <w:vAlign w:val="bottom"/>
            <w:gridSpan w:val="16"/>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Note 3 — Acquisitions</w:t>
            </w:r>
          </w:p>
        </w:tc>
        <w:tc>
          <w:tcPr>
            <w:tcW w:w="8060" w:type="dxa"/>
            <w:vAlign w:val="bottom"/>
            <w:gridSpan w:val="21"/>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Note 4 — Discontinued and Disposed Operations</w:t>
            </w:r>
          </w:p>
        </w:tc>
        <w:tc>
          <w:tcPr>
            <w:tcW w:w="6180" w:type="dxa"/>
            <w:vAlign w:val="bottom"/>
            <w:gridSpan w:val="10"/>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5 — Inventories, net</w:t>
            </w:r>
          </w:p>
        </w:tc>
        <w:tc>
          <w:tcPr>
            <w:tcW w:w="6180" w:type="dxa"/>
            <w:vAlign w:val="bottom"/>
            <w:gridSpan w:val="10"/>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6 — Property, Plant and Equipment, net</w:t>
            </w: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Note 7 — Credit Losses</w:t>
            </w:r>
          </w:p>
        </w:tc>
        <w:tc>
          <w:tcPr>
            <w:tcW w:w="1500" w:type="dxa"/>
            <w:vAlign w:val="bottom"/>
            <w:gridSpan w:val="8"/>
          </w:tcPr>
          <w:p>
            <w:pPr>
              <w:spacing w:after="0"/>
              <w:rPr>
                <w:sz w:val="17"/>
                <w:szCs w:val="17"/>
                <w:color w:val="auto"/>
              </w:rPr>
            </w:pPr>
          </w:p>
        </w:tc>
        <w:tc>
          <w:tcPr>
            <w:tcW w:w="6480" w:type="dxa"/>
            <w:vAlign w:val="bottom"/>
            <w:gridSpan w:val="12"/>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6"/>
              </w:rPr>
              <w:t>Note 8 — Goodwill and Other Intangible Assets</w:t>
            </w:r>
          </w:p>
        </w:tc>
        <w:tc>
          <w:tcPr>
            <w:tcW w:w="6280" w:type="dxa"/>
            <w:vAlign w:val="bottom"/>
            <w:gridSpan w:val="11"/>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 9 — Restructuring Activities</w:t>
            </w:r>
          </w:p>
        </w:tc>
        <w:tc>
          <w:tcPr>
            <w:tcW w:w="6280" w:type="dxa"/>
            <w:vAlign w:val="bottom"/>
            <w:gridSpan w:val="11"/>
          </w:tcPr>
          <w:p>
            <w:pPr>
              <w:spacing w:after="0"/>
              <w:rPr>
                <w:sz w:val="17"/>
                <w:szCs w:val="17"/>
                <w:color w:val="auto"/>
              </w:rPr>
            </w:pPr>
          </w:p>
        </w:tc>
        <w:tc>
          <w:tcPr>
            <w:tcW w:w="34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0000FF"/>
                <w:w w:val="88"/>
              </w:rPr>
              <w:t>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 10 — Borrowings</w:t>
            </w:r>
          </w:p>
        </w:tc>
        <w:tc>
          <w:tcPr>
            <w:tcW w:w="7260" w:type="dxa"/>
            <w:vAlign w:val="bottom"/>
            <w:gridSpan w:val="14"/>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10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11 — Financial Instruments</w:t>
            </w: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11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5"/>
              </w:rPr>
              <w:t>Note 12 — Income Taxes</w:t>
            </w:r>
          </w:p>
        </w:tc>
        <w:tc>
          <w:tcPr>
            <w:tcW w:w="520" w:type="dxa"/>
            <w:vAlign w:val="bottom"/>
            <w:gridSpan w:val="4"/>
          </w:tcPr>
          <w:p>
            <w:pPr>
              <w:spacing w:after="0"/>
              <w:rPr>
                <w:sz w:val="17"/>
                <w:szCs w:val="17"/>
                <w:color w:val="auto"/>
              </w:rPr>
            </w:pPr>
          </w:p>
        </w:tc>
        <w:tc>
          <w:tcPr>
            <w:tcW w:w="7360" w:type="dxa"/>
            <w:vAlign w:val="bottom"/>
            <w:gridSpan w:val="15"/>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12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13 — Equity Incentive Program</w:t>
            </w: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13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Note 14 — Commitments and Contingent Liabilities</w:t>
            </w:r>
          </w:p>
        </w:tc>
        <w:tc>
          <w:tcPr>
            <w:tcW w:w="5960" w:type="dxa"/>
            <w:vAlign w:val="bottom"/>
            <w:gridSpan w:val="9"/>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14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15 — Accumulated Other Comprehensive Earnings (Loss)</w:t>
            </w:r>
          </w:p>
        </w:tc>
        <w:tc>
          <w:tcPr>
            <w:tcW w:w="3320" w:type="dxa"/>
            <w:vAlign w:val="bottom"/>
            <w:gridSpan w:val="5"/>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15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16 — Segment Information</w:t>
            </w:r>
          </w:p>
        </w:tc>
        <w:tc>
          <w:tcPr>
            <w:tcW w:w="3320" w:type="dxa"/>
            <w:vAlign w:val="bottom"/>
            <w:gridSpan w:val="5"/>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15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Note 17 — Stockholders' Equity</w:t>
            </w:r>
          </w:p>
        </w:tc>
        <w:tc>
          <w:tcPr>
            <w:tcW w:w="7360" w:type="dxa"/>
            <w:vAlign w:val="bottom"/>
            <w:gridSpan w:val="15"/>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19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Note 18 — Earnings per Share</w:t>
            </w:r>
          </w:p>
        </w:tc>
        <w:tc>
          <w:tcPr>
            <w:tcW w:w="60" w:type="dxa"/>
            <w:vAlign w:val="bottom"/>
          </w:tcPr>
          <w:p>
            <w:pPr>
              <w:spacing w:after="0"/>
              <w:rPr>
                <w:sz w:val="17"/>
                <w:szCs w:val="17"/>
                <w:color w:val="auto"/>
              </w:rPr>
            </w:pPr>
          </w:p>
        </w:tc>
        <w:tc>
          <w:tcPr>
            <w:tcW w:w="7460" w:type="dxa"/>
            <w:vAlign w:val="bottom"/>
            <w:gridSpan w:val="16"/>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20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19 — Recent Accounting Pronouncements</w:t>
            </w: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20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 20 — Subsequent Events</w:t>
            </w:r>
          </w:p>
        </w:tc>
        <w:tc>
          <w:tcPr>
            <w:tcW w:w="1180" w:type="dxa"/>
            <w:vAlign w:val="bottom"/>
            <w:gridSpan w:val="5"/>
          </w:tcPr>
          <w:p>
            <w:pPr>
              <w:spacing w:after="0"/>
              <w:rPr>
                <w:sz w:val="17"/>
                <w:szCs w:val="17"/>
                <w:color w:val="auto"/>
              </w:rPr>
            </w:pPr>
          </w:p>
        </w:tc>
        <w:tc>
          <w:tcPr>
            <w:tcW w:w="6280" w:type="dxa"/>
            <w:vAlign w:val="bottom"/>
            <w:gridSpan w:val="11"/>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420" w:type="dxa"/>
            <w:vAlign w:val="bottom"/>
            <w:gridSpan w:val="2"/>
          </w:tcPr>
          <w:p>
            <w:pPr>
              <w:spacing w:after="0"/>
              <w:rPr>
                <w:sz w:val="17"/>
                <w:szCs w:val="17"/>
                <w:color w:val="auto"/>
              </w:rPr>
            </w:pPr>
          </w:p>
        </w:tc>
        <w:tc>
          <w:tcPr>
            <w:tcW w:w="63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3320" w:type="dxa"/>
            <w:vAlign w:val="bottom"/>
            <w:gridSpan w:val="5"/>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22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420" w:type="dxa"/>
            <w:vAlign w:val="bottom"/>
            <w:gridSpan w:val="2"/>
          </w:tcPr>
          <w:p>
            <w:pPr>
              <w:spacing w:after="0"/>
              <w:rPr>
                <w:sz w:val="17"/>
                <w:szCs w:val="17"/>
                <w:color w:val="auto"/>
              </w:rPr>
            </w:pPr>
          </w:p>
        </w:tc>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100" w:type="dxa"/>
            <w:vAlign w:val="bottom"/>
            <w:gridSpan w:val="3"/>
          </w:tcPr>
          <w:p>
            <w:pPr>
              <w:spacing w:after="0"/>
              <w:rPr>
                <w:sz w:val="17"/>
                <w:szCs w:val="17"/>
                <w:color w:val="auto"/>
              </w:rPr>
            </w:pPr>
          </w:p>
        </w:tc>
        <w:tc>
          <w:tcPr>
            <w:tcW w:w="3320" w:type="dxa"/>
            <w:vAlign w:val="bottom"/>
            <w:gridSpan w:val="5"/>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37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5420" w:type="dxa"/>
            <w:vAlign w:val="bottom"/>
            <w:tcBorders>
              <w:left w:val="single" w:sz="8" w:color="0000FF"/>
            </w:tcBorders>
            <w:gridSpan w:val="8"/>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420" w:type="dxa"/>
            <w:vAlign w:val="bottom"/>
            <w:gridSpan w:val="2"/>
          </w:tcPr>
          <w:p>
            <w:pPr>
              <w:spacing w:after="0"/>
              <w:rPr>
                <w:sz w:val="17"/>
                <w:szCs w:val="17"/>
                <w:color w:val="auto"/>
              </w:rPr>
            </w:pPr>
          </w:p>
        </w:tc>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20" w:type="dxa"/>
            <w:vAlign w:val="bottom"/>
            <w:gridSpan w:val="8"/>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29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7"/>
              </w:rPr>
              <w:t>PART II — OTHER INFORMATION</w:t>
            </w:r>
          </w:p>
        </w:tc>
        <w:tc>
          <w:tcPr>
            <w:tcW w:w="7700" w:type="dxa"/>
            <w:vAlign w:val="bottom"/>
            <w:gridSpan w:val="18"/>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420" w:type="dxa"/>
            <w:vAlign w:val="bottom"/>
            <w:gridSpan w:val="2"/>
          </w:tcPr>
          <w:p>
            <w:pPr>
              <w:spacing w:after="0"/>
              <w:rPr>
                <w:sz w:val="17"/>
                <w:szCs w:val="17"/>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8400" w:type="dxa"/>
            <w:vAlign w:val="bottom"/>
            <w:gridSpan w:val="22"/>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280" w:type="dxa"/>
            <w:vAlign w:val="bottom"/>
          </w:tcPr>
          <w:p>
            <w:pPr>
              <w:spacing w:after="0"/>
              <w:rPr>
                <w:sz w:val="17"/>
                <w:szCs w:val="17"/>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6"/>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420" w:type="dxa"/>
            <w:vAlign w:val="bottom"/>
            <w:gridSpan w:val="2"/>
          </w:tcPr>
          <w:p>
            <w:pPr>
              <w:spacing w:after="0"/>
              <w:rPr>
                <w:sz w:val="17"/>
                <w:szCs w:val="17"/>
                <w:color w:val="auto"/>
              </w:rPr>
            </w:pPr>
          </w:p>
        </w:tc>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420" w:type="dxa"/>
            <w:vAlign w:val="bottom"/>
            <w:gridSpan w:val="8"/>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39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420" w:type="dxa"/>
            <w:vAlign w:val="bottom"/>
            <w:gridSpan w:val="2"/>
          </w:tcPr>
          <w:p>
            <w:pPr>
              <w:spacing w:after="0"/>
              <w:rPr>
                <w:sz w:val="17"/>
                <w:szCs w:val="17"/>
                <w:color w:val="auto"/>
              </w:rPr>
            </w:pPr>
          </w:p>
        </w:tc>
        <w:tc>
          <w:tcPr>
            <w:tcW w:w="2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60" w:type="dxa"/>
            <w:vAlign w:val="bottom"/>
            <w:gridSpan w:val="16"/>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39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420" w:type="dxa"/>
            <w:vAlign w:val="bottom"/>
            <w:gridSpan w:val="2"/>
          </w:tcPr>
          <w:p>
            <w:pPr>
              <w:spacing w:after="0"/>
              <w:rPr>
                <w:sz w:val="17"/>
                <w:szCs w:val="17"/>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20" w:type="dxa"/>
            <w:vAlign w:val="bottom"/>
            <w:gridSpan w:val="2"/>
          </w:tcPr>
          <w:p>
            <w:pPr>
              <w:spacing w:after="0"/>
              <w:rPr>
                <w:sz w:val="17"/>
                <w:szCs w:val="17"/>
                <w:color w:val="auto"/>
              </w:rPr>
            </w:pPr>
          </w:p>
        </w:tc>
        <w:tc>
          <w:tcPr>
            <w:tcW w:w="7980" w:type="dxa"/>
            <w:vAlign w:val="bottom"/>
            <w:gridSpan w:val="20"/>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39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00" w:type="dxa"/>
            <w:vAlign w:val="bottom"/>
            <w:gridSpan w:val="2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420" w:type="dxa"/>
            <w:vAlign w:val="bottom"/>
            <w:gridSpan w:val="2"/>
          </w:tcPr>
          <w:p>
            <w:pPr>
              <w:spacing w:after="0"/>
              <w:rPr>
                <w:sz w:val="17"/>
                <w:szCs w:val="17"/>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400" w:type="dxa"/>
            <w:vAlign w:val="bottom"/>
            <w:gridSpan w:val="22"/>
          </w:tcPr>
          <w:p>
            <w:pPr>
              <w:spacing w:after="0"/>
              <w:rPr>
                <w:sz w:val="17"/>
                <w:szCs w:val="17"/>
                <w:color w:val="auto"/>
              </w:rPr>
            </w:pP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40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20" w:type="dxa"/>
            <w:vAlign w:val="bottom"/>
            <w:gridSpan w:val="2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0" w:type="dxa"/>
            <w:vAlign w:val="bottom"/>
          </w:tcPr>
          <w:p>
            <w:pPr>
              <w:spacing w:after="0"/>
              <w:rPr>
                <w:sz w:val="24"/>
                <w:szCs w:val="24"/>
                <w:color w:val="auto"/>
              </w:rPr>
            </w:pPr>
          </w:p>
        </w:tc>
        <w:tc>
          <w:tcPr>
            <w:tcW w:w="1062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0000FF"/>
                <w:w w:val="88"/>
              </w:rPr>
              <w:t>41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8"/>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1,866,059</w:t>
            </w:r>
          </w:p>
        </w:tc>
      </w:tr>
      <w:tr>
        <w:trPr>
          <w:trHeight w:val="227"/>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1,120,559</w:t>
            </w:r>
          </w:p>
        </w:tc>
      </w:tr>
      <w:tr>
        <w:trPr>
          <w:trHeight w:val="22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745,500</w:t>
            </w:r>
          </w:p>
        </w:tc>
      </w:tr>
      <w:tr>
        <w:trPr>
          <w:trHeight w:val="227"/>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449,191</w:t>
            </w:r>
          </w:p>
        </w:tc>
      </w:tr>
      <w:tr>
        <w:trPr>
          <w:trHeight w:val="22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296,309</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27,608</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3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295,381</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239,241</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238,433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230,821</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0"/>
        </w:trPr>
        <w:tc>
          <w:tcPr>
            <w:tcW w:w="7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from continuing operations: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7"/>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from discontinued operations: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7"/>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7"/>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7"/>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137,267</w:t>
            </w:r>
          </w:p>
        </w:tc>
      </w:tr>
      <w:tr>
        <w:trPr>
          <w:trHeight w:val="22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138,260</w:t>
            </w: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70"/>
        </w:trPr>
        <w:tc>
          <w:tcPr>
            <w:tcW w:w="7720" w:type="dxa"/>
            <w:vAlign w:val="bottom"/>
          </w:tcPr>
          <w:p>
            <w:pPr>
              <w:spacing w:after="0"/>
              <w:rPr>
                <w:sz w:val="24"/>
                <w:szCs w:val="24"/>
                <w:color w:val="auto"/>
              </w:rPr>
            </w:pPr>
          </w:p>
        </w:tc>
        <w:tc>
          <w:tcPr>
            <w:tcW w:w="352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7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238,433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230,821</w:t>
            </w:r>
          </w:p>
        </w:tc>
      </w:tr>
      <w:tr>
        <w:trPr>
          <w:trHeight w:val="20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earnings, net of tax</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7"/>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52,006</w:t>
            </w:r>
          </w:p>
        </w:tc>
      </w:tr>
      <w:tr>
        <w:trPr>
          <w:trHeight w:val="153"/>
        </w:trPr>
        <w:tc>
          <w:tcPr>
            <w:tcW w:w="77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foreign currency translation adjustments (net of $(8,760) and $9,588 tax (provision) benefit,</w:t>
            </w:r>
          </w:p>
        </w:tc>
        <w:tc>
          <w:tcPr>
            <w:tcW w:w="10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4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0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w:t>
            </w:r>
          </w:p>
        </w:tc>
      </w:tr>
      <w:tr>
        <w:trPr>
          <w:trHeight w:val="20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7"/>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actuarial gain included in net periodic pension cost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7"/>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Amortization of prior service credits included in net periodic pension cost</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pension and other post-retirement benefit plans (net of $122 and $132 tax benefit, respectively)</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7"/>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net earnings (loss) arising during the period</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7"/>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gain reclassified into earnings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 (net of $(461) and $396 tax (provision) benefit, respectively)</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2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 net of tax</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50,178</w:t>
            </w:r>
          </w:p>
        </w:tc>
      </w:tr>
      <w:tr>
        <w:trPr>
          <w:trHeight w:val="24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earnings</w:t>
            </w: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217,807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7"/>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7"/>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1,676,808</w:t>
            </w:r>
          </w:p>
        </w:tc>
      </w:tr>
      <w:tr>
        <w:trPr>
          <w:trHeight w:val="227"/>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1,371,352</w:t>
            </w:r>
          </w:p>
        </w:tc>
      </w:tr>
      <w:tr>
        <w:trPr>
          <w:trHeight w:val="227"/>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1,272,784</w:t>
            </w:r>
          </w:p>
        </w:tc>
      </w:tr>
      <w:tr>
        <w:trPr>
          <w:trHeight w:val="227"/>
        </w:trPr>
        <w:tc>
          <w:tcPr>
            <w:tcW w:w="7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185,996</w:t>
            </w:r>
          </w:p>
        </w:tc>
      </w:tr>
      <w:tr>
        <w:trPr>
          <w:trHeight w:val="220"/>
        </w:trPr>
        <w:tc>
          <w:tcPr>
            <w:tcW w:w="7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4,676,735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4,506,940</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1,119,623</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5,430,038</w:t>
            </w: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1,759,616</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 and deferred charges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606,206</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13,506,680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13,422,423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7"/>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706,677</w:t>
            </w:r>
          </w:p>
        </w:tc>
      </w:tr>
      <w:tr>
        <w:trPr>
          <w:trHeight w:val="227"/>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875,678</w:t>
            </w:r>
          </w:p>
        </w:tc>
      </w:tr>
      <w:tr>
        <w:trPr>
          <w:trHeight w:val="227"/>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280,737</w:t>
            </w:r>
          </w:p>
        </w:tc>
      </w:tr>
      <w:tr>
        <w:trPr>
          <w:trHeight w:val="227"/>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155,025</w:t>
            </w:r>
          </w:p>
        </w:tc>
      </w:tr>
      <w:tr>
        <w:trPr>
          <w:trHeight w:val="227"/>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insurance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87,596</w:t>
            </w:r>
          </w:p>
        </w:tc>
      </w:tr>
      <w:tr>
        <w:trPr>
          <w:trHeight w:val="227"/>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352,053</w:t>
            </w:r>
          </w:p>
        </w:tc>
      </w:tr>
      <w:tr>
        <w:trPr>
          <w:trHeight w:val="227"/>
        </w:trPr>
        <w:tc>
          <w:tcPr>
            <w:tcW w:w="7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Federal and other income taxes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60,723</w:t>
            </w:r>
          </w:p>
        </w:tc>
      </w:tr>
      <w:tr>
        <w:trPr>
          <w:trHeight w:val="220"/>
        </w:trPr>
        <w:tc>
          <w:tcPr>
            <w:tcW w:w="7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2,518,489</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2,621,295</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394,368</w:t>
            </w: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483,065</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7"/>
        </w:trPr>
        <w:tc>
          <w:tcPr>
            <w:tcW w:w="71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7,489,886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7,405,206</w:t>
            </w:r>
          </w:p>
        </w:tc>
      </w:tr>
      <w:tr>
        <w:trPr>
          <w:trHeight w:val="245"/>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13,506,680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13,422,423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160" w:type="dxa"/>
            <w:vAlign w:val="bottom"/>
            <w:gridSpan w:val="3"/>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20" w:type="dxa"/>
            <w:vAlign w:val="bottom"/>
          </w:tcPr>
          <w:p>
            <w:pPr>
              <w:jc w:val="center"/>
              <w:ind w:right="51"/>
              <w:spacing w:after="0" w:line="174"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40"/>
        </w:trPr>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3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0"/>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14,220,582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(7,751,380)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7,405,206</w:t>
            </w:r>
          </w:p>
        </w:tc>
        <w:tc>
          <w:tcPr>
            <w:tcW w:w="0" w:type="dxa"/>
            <w:vAlign w:val="bottom"/>
          </w:tcPr>
          <w:p>
            <w:pPr>
              <w:spacing w:after="0"/>
              <w:rPr>
                <w:sz w:val="1"/>
                <w:szCs w:val="1"/>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238,433</w:t>
            </w: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($0.52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w:t>
            </w:r>
          </w:p>
        </w:tc>
        <w:tc>
          <w:tcPr>
            <w:tcW w:w="0" w:type="dxa"/>
            <w:vAlign w:val="bottom"/>
          </w:tcPr>
          <w:p>
            <w:pPr>
              <w:spacing w:after="0"/>
              <w:rPr>
                <w:sz w:val="1"/>
                <w:szCs w:val="1"/>
                <w:color w:val="auto"/>
              </w:rPr>
            </w:pPr>
          </w:p>
        </w:tc>
      </w:tr>
      <w:tr>
        <w:trPr>
          <w:trHeight w:val="173"/>
        </w:trPr>
        <w:tc>
          <w:tcPr>
            <w:tcW w:w="32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0" w:type="dxa"/>
            <w:vAlign w:val="bottom"/>
          </w:tcPr>
          <w:p>
            <w:pPr>
              <w:spacing w:after="0"/>
              <w:rPr>
                <w:sz w:val="1"/>
                <w:szCs w:val="1"/>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acquired</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(53,937)</w:t>
            </w: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0" w:type="dxa"/>
            <w:vAlign w:val="bottom"/>
          </w:tcPr>
          <w:p>
            <w:pPr>
              <w:spacing w:after="0"/>
              <w:rPr>
                <w:sz w:val="1"/>
                <w:szCs w:val="1"/>
                <w:color w:val="auto"/>
              </w:rPr>
            </w:pPr>
          </w:p>
        </w:tc>
      </w:tr>
      <w:tr>
        <w:trPr>
          <w:trHeight w:val="22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14,388,569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(7,805,317)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7,489,886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160" w:type="dxa"/>
            <w:vAlign w:val="bottom"/>
            <w:gridSpan w:val="3"/>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20" w:type="dxa"/>
            <w:vAlign w:val="bottom"/>
          </w:tcPr>
          <w:p>
            <w:pPr>
              <w:jc w:val="center"/>
              <w:ind w:right="51"/>
              <w:spacing w:after="0" w:line="174"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40"/>
        </w:trPr>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3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0"/>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13,409,633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(7,280,578)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6,953,996</w:t>
            </w:r>
          </w:p>
        </w:tc>
        <w:tc>
          <w:tcPr>
            <w:tcW w:w="0" w:type="dxa"/>
            <w:vAlign w:val="bottom"/>
          </w:tcPr>
          <w:p>
            <w:pPr>
              <w:spacing w:after="0"/>
              <w:rPr>
                <w:sz w:val="1"/>
                <w:szCs w:val="1"/>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230,821</w:t>
            </w: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($0.515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(71,399)</w:t>
            </w:r>
          </w:p>
        </w:tc>
        <w:tc>
          <w:tcPr>
            <w:tcW w:w="0" w:type="dxa"/>
            <w:vAlign w:val="bottom"/>
          </w:tcPr>
          <w:p>
            <w:pPr>
              <w:spacing w:after="0"/>
              <w:rPr>
                <w:sz w:val="1"/>
                <w:szCs w:val="1"/>
                <w:color w:val="auto"/>
              </w:rPr>
            </w:pPr>
          </w:p>
        </w:tc>
      </w:tr>
      <w:tr>
        <w:trPr>
          <w:trHeight w:val="173"/>
        </w:trPr>
        <w:tc>
          <w:tcPr>
            <w:tcW w:w="32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w:t>
            </w:r>
          </w:p>
        </w:tc>
        <w:tc>
          <w:tcPr>
            <w:tcW w:w="0" w:type="dxa"/>
            <w:vAlign w:val="bottom"/>
          </w:tcPr>
          <w:p>
            <w:pPr>
              <w:spacing w:after="0"/>
              <w:rPr>
                <w:sz w:val="1"/>
                <w:szCs w:val="1"/>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acquired</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0" w:type="dxa"/>
            <w:vAlign w:val="bottom"/>
          </w:tcPr>
          <w:p>
            <w:pPr>
              <w:spacing w:after="0"/>
              <w:rPr>
                <w:sz w:val="1"/>
                <w:szCs w:val="1"/>
                <w:color w:val="auto"/>
              </w:rPr>
            </w:pPr>
          </w:p>
        </w:tc>
      </w:tr>
      <w:tr>
        <w:trPr>
          <w:trHeight w:val="22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13,569,055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(277,598)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(7,321,278)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7,137,767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8"/>
        </w:trPr>
        <w:tc>
          <w:tcPr>
            <w:tcW w:w="77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238,433</w:t>
            </w:r>
          </w:p>
        </w:tc>
        <w:tc>
          <w:tcPr>
            <w:tcW w:w="12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230,821</w:t>
            </w: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1"/>
        </w:trPr>
        <w:tc>
          <w:tcPr>
            <w:tcW w:w="7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8,420</w:t>
            </w:r>
          </w:p>
        </w:tc>
      </w:tr>
      <w:tr>
        <w:trPr>
          <w:trHeight w:val="216"/>
        </w:trPr>
        <w:tc>
          <w:tcPr>
            <w:tcW w:w="7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87,418</w:t>
            </w:r>
          </w:p>
        </w:tc>
      </w:tr>
      <w:tr>
        <w:trPr>
          <w:trHeight w:val="211"/>
        </w:trPr>
        <w:tc>
          <w:tcPr>
            <w:tcW w:w="7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23,874</w:t>
            </w:r>
          </w:p>
        </w:tc>
      </w:tr>
      <w:tr>
        <w:trPr>
          <w:trHeight w:val="216"/>
        </w:trPr>
        <w:tc>
          <w:tcPr>
            <w:tcW w:w="7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Gain on dispositions</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r>
      <w:tr>
        <w:trPr>
          <w:trHeight w:val="211"/>
        </w:trPr>
        <w:tc>
          <w:tcPr>
            <w:tcW w:w="7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effect of changes in assets and liabilities: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1"/>
        </w:trPr>
        <w:tc>
          <w:tcPr>
            <w:tcW w:w="7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(5,475)</w:t>
            </w:r>
          </w:p>
        </w:tc>
      </w:tr>
      <w:tr>
        <w:trPr>
          <w:trHeight w:val="216"/>
        </w:trPr>
        <w:tc>
          <w:tcPr>
            <w:tcW w:w="7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(49,277)</w:t>
            </w:r>
          </w:p>
        </w:tc>
      </w:tr>
      <w:tr>
        <w:trPr>
          <w:trHeight w:val="211"/>
        </w:trPr>
        <w:tc>
          <w:tcPr>
            <w:tcW w:w="7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(11,582)</w:t>
            </w:r>
          </w:p>
        </w:tc>
      </w:tr>
      <w:tr>
        <w:trPr>
          <w:trHeight w:val="216"/>
        </w:trPr>
        <w:tc>
          <w:tcPr>
            <w:tcW w:w="7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(18,522)</w:t>
            </w:r>
          </w:p>
        </w:tc>
      </w:tr>
      <w:tr>
        <w:trPr>
          <w:trHeight w:val="211"/>
        </w:trPr>
        <w:tc>
          <w:tcPr>
            <w:tcW w:w="7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(127,826)</w:t>
            </w:r>
          </w:p>
        </w:tc>
      </w:tr>
      <w:tr>
        <w:trPr>
          <w:trHeight w:val="216"/>
        </w:trPr>
        <w:tc>
          <w:tcPr>
            <w:tcW w:w="7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w:t>
            </w:r>
          </w:p>
        </w:tc>
      </w:tr>
      <w:tr>
        <w:trPr>
          <w:trHeight w:val="211"/>
        </w:trPr>
        <w:tc>
          <w:tcPr>
            <w:tcW w:w="7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Accrued and deferred taxes,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12,693</w:t>
            </w:r>
          </w:p>
        </w:tc>
      </w:tr>
      <w:tr>
        <w:trPr>
          <w:trHeight w:val="20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157,474</w:t>
            </w:r>
          </w:p>
        </w:tc>
      </w:t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(48,192)</w:t>
            </w:r>
          </w:p>
        </w:tc>
      </w:tr>
      <w:tr>
        <w:trPr>
          <w:trHeight w:val="211"/>
        </w:trPr>
        <w:tc>
          <w:tcPr>
            <w:tcW w:w="7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Acquisitions, net of cash and cash equivalents acquired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(29,287)</w:t>
            </w:r>
          </w:p>
        </w:tc>
      </w:tr>
      <w:tr>
        <w:trPr>
          <w:trHeight w:val="216"/>
        </w:trPr>
        <w:tc>
          <w:tcPr>
            <w:tcW w:w="7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dispositions, net of cash transferred</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r>
      <w:tr>
        <w:trPr>
          <w:trHeight w:val="211"/>
        </w:trPr>
        <w:tc>
          <w:tcPr>
            <w:tcW w:w="7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0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(74,186)</w:t>
            </w:r>
          </w:p>
        </w:tc>
      </w:t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(40,700)</w:t>
            </w:r>
          </w:p>
        </w:tc>
      </w:tr>
      <w:tr>
        <w:trPr>
          <w:trHeight w:val="211"/>
        </w:trPr>
        <w:tc>
          <w:tcPr>
            <w:tcW w:w="7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(71,399)</w:t>
            </w:r>
          </w:p>
        </w:tc>
      </w:tr>
      <w:tr>
        <w:trPr>
          <w:trHeight w:val="216"/>
        </w:trPr>
        <w:tc>
          <w:tcPr>
            <w:tcW w:w="7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Payments to settle employee tax obligations on exercise of share-based awards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(9,003)</w:t>
            </w:r>
          </w:p>
        </w:tc>
      </w:tr>
      <w:tr>
        <w:trPr>
          <w:trHeight w:val="211"/>
        </w:trPr>
        <w:tc>
          <w:tcPr>
            <w:tcW w:w="7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r>
      <w:tr>
        <w:trPr>
          <w:trHeight w:val="20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(122,234)</w:t>
            </w:r>
          </w:p>
        </w:tc>
      </w:t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Discontinued Operations: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 of discontinued operations</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r>
      <w:tr>
        <w:trPr>
          <w:trHeight w:val="204"/>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discontinued operations</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r>
      <w:tr>
        <w:trPr>
          <w:trHeight w:val="149"/>
        </w:trPr>
        <w:tc>
          <w:tcPr>
            <w:tcW w:w="7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(39,557)</w:t>
            </w:r>
          </w:p>
        </w:tc>
      </w:tr>
      <w:tr>
        <w:trPr>
          <w:trHeight w:val="211"/>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1,676,808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1,844,877</w:t>
            </w:r>
          </w:p>
        </w:tc>
      </w:tr>
      <w:tr>
        <w:trPr>
          <w:trHeight w:val="23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1,641,916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1,805,320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Basis of Presentation</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2025, included in the Company's Annual Report on Form 10-K filed with the SEC on February 13, 2026. The year-end consolidated balance sheet was derived from audited financial statements.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The preparation of these financial statements requires us to make estimates and assumptions that affect amounts reported in the condensed consolidated financial statements and accompanying disclosures. Although these estimates are based on management’s knowledge of current events and expectations about actions that the Company may undertake in the future, actual results may differ from those estimates. Our interim condensed consolidated financial statements are unaudited but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Environmental Solutions Group ("ESG") business, an operating company within the Engineered Products segment, was sold during the fourth quarter of 2024 and reported as discontinued operations. Therefore, the Company has classified the results of operations related to the disposal of ESG as discontinued operations in the condensed consolidated statements of earnings and the condensed consolidated statements of cash flows. The discussion in the notes to these condensed consolidated financial statements, unless otherwise noted, relates solely to our continuing operations. See Note 4 — Discontinued and Disposed Operations for further details.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Revenue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Revenue from contracts with customers is disaggregated by segment and geographic location, as these categories best depict the nature and amount of the Company’s revenue. See Note 16 — Segment Information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For contracts with multiple performance obligations, the Company allocates the total transaction price to each performance obligation in an amount based on the estimated relative standalone selling prices of the promised goods or services underlying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March 31, 2026, we estimated that $325,426 in revenue is expected to be recognized in the future related to performance obligations that are unsatisfied (or partially unsatisfied) at the end of the reporting period. We expect to recognize approximately 73.5% of the Company's unsatisfied (or partially unsatisfied) performance obligations as revenue through 2027, 14.7% in 2028, with the remaining balance to be recognized in 2029 and thereafter.</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permitted by Accounting Standards Codification ("ASC") 606, the Company has excluded from its disclosures above about unsatisfied performance obligations for any contracts with an expected duration of one year or less, and contracts for which the Company recognizes revenue at the amount to which the Company has the right to invoice for services performed.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Contract assets primarily relate to the Company's right to consideration for work completed but not billed at the reporting date. Contract liabilities relate to advance consideration received from customers or advance billings for which revenue has not been recognized and are reduced when the associated revenue from the contract is 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0"/>
                <w:szCs w:val="20"/>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w:t>
            </w:r>
          </w:p>
        </w:tc>
      </w:tr>
      <w:tr>
        <w:trPr>
          <w:trHeight w:val="22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198,629</w:t>
            </w:r>
          </w:p>
        </w:tc>
      </w:tr>
      <w:tr>
        <w:trPr>
          <w:trHeight w:val="22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r>
    </w:tbl>
    <w:p>
      <w:pPr>
        <w:spacing w:after="0" w:line="3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revenue recognized during the three months ended March 31, 2026 and 2025 that was included in contract liabilities at the beginning of the period amounted to $80,543 and $74,189,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Acquisitions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Acquisitions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immaterial acquisition was completed during the three months ended March 31, 2026, within the Engineered Products segment.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2025, the Company acquired one business. On January 17, 2025, the Company acquired 100% of the equity interest in Cryogenic Machinery Corp. ("Cryo-Mach"), a provider of cryogenic centrifugal pumps, mechanical seals and accessories, for total consideration of $28,909, net of cash acquired and inclusive of measurement period adjustments. The Cryo-Mach business was acquired to expand the Company's participation in cryogenic applications within the Pumps &amp; Process Solutions segment. In connection with this acquisition, the Company recorded tax-deductible goodwill of $9,250 and intangible assets of $21,020, primarily related to customer intangibles. The goodwill recorded as a result of the acquisition represents economic benefits expected to be derived from product line expansions and operational synergies.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Discontinued and Disposed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October 8, 2024, the Company completed the sale of the ESG business, an operating company within the Engineered Products segment, to Terex Corporation for total consideration, net of cash transferred, of $2.0 billion. The ESG sale qualifies for discontinued operations reporting because its disposal represented a strategic shift with a major effect on the Company's operations and financial results. As a result, the Company has classified the results of operations as discontinued operations in the condensed consolidated statements of earnings and the condensed consolidated statements of cash flows for the three months ended March 31, 2026 and 2025. During the three months ended March 31, 2026, other post-closing adjustments of $400 ($316 after-tax) were recorded resulting in a loss from discontinued operations in the condensed consolidated statements of earnings. During the three months ended March 31, 2025, net working capital adjustments of $9,796 ($7,739 after-tax) and other post-closing adjustments of $862 ($681 after-tax) were recorded resulting in a loss from discontinued operations, net of $8,420 in the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June 2025, a jury returned a verdict against the ESG business for approximately $58.9 million in connection with litigation involving alleged breach of contract and inducement of breach of fiduciary duty claims arising from certain product development efforts. ESG has filed post-trial motions and, if necessary, will file an appeal with the U.S. Court of Appeals for the Seventh Circuit. The Company has not recognized an expense in connection with this matter because it does not currently believe a loss is probable.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 were no dispositions in 2025 or 2026.</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Inventories, net</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60" w:type="dxa"/>
            <w:vAlign w:val="bottom"/>
            <w:tcBorders>
              <w:top w:val="single" w:sz="8" w:color="auto"/>
            </w:tcBorders>
          </w:tcPr>
          <w:p>
            <w:pPr>
              <w:spacing w:after="0"/>
              <w:rPr>
                <w:sz w:val="23"/>
                <w:szCs w:val="23"/>
                <w:color w:val="auto"/>
              </w:rPr>
            </w:pPr>
          </w:p>
        </w:tc>
        <w:tc>
          <w:tcPr>
            <w:tcW w:w="15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3"/>
                <w:szCs w:val="23"/>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0"/>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765,453</w:t>
            </w:r>
          </w:p>
        </w:tc>
        <w:tc>
          <w:tcPr>
            <w:tcW w:w="0" w:type="dxa"/>
            <w:vAlign w:val="bottom"/>
          </w:tcPr>
          <w:p>
            <w:pPr>
              <w:spacing w:after="0"/>
              <w:rPr>
                <w:sz w:val="1"/>
                <w:szCs w:val="1"/>
                <w:color w:val="auto"/>
              </w:rPr>
            </w:pPr>
          </w:p>
        </w:tc>
      </w:tr>
      <w:tr>
        <w:trPr>
          <w:trHeight w:val="227"/>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235,523</w:t>
            </w:r>
          </w:p>
        </w:tc>
        <w:tc>
          <w:tcPr>
            <w:tcW w:w="0" w:type="dxa"/>
            <w:vAlign w:val="bottom"/>
          </w:tcPr>
          <w:p>
            <w:pPr>
              <w:spacing w:after="0"/>
              <w:rPr>
                <w:sz w:val="1"/>
                <w:szCs w:val="1"/>
                <w:color w:val="auto"/>
              </w:rPr>
            </w:pPr>
          </w:p>
        </w:tc>
      </w:tr>
      <w:tr>
        <w:trPr>
          <w:trHeight w:val="227"/>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422,229</w:t>
            </w:r>
          </w:p>
        </w:tc>
        <w:tc>
          <w:tcPr>
            <w:tcW w:w="0" w:type="dxa"/>
            <w:vAlign w:val="bottom"/>
          </w:tcPr>
          <w:p>
            <w:pPr>
              <w:spacing w:after="0"/>
              <w:rPr>
                <w:sz w:val="1"/>
                <w:szCs w:val="1"/>
                <w:color w:val="auto"/>
              </w:rPr>
            </w:pPr>
          </w:p>
        </w:tc>
      </w:tr>
      <w:tr>
        <w:trPr>
          <w:trHeight w:val="22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1,521,422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1,423,205</w:t>
            </w:r>
          </w:p>
        </w:tc>
        <w:tc>
          <w:tcPr>
            <w:tcW w:w="0" w:type="dxa"/>
            <w:vAlign w:val="bottom"/>
          </w:tcPr>
          <w:p>
            <w:pPr>
              <w:spacing w:after="0"/>
              <w:rPr>
                <w:sz w:val="1"/>
                <w:szCs w:val="1"/>
                <w:color w:val="auto"/>
              </w:rPr>
            </w:pPr>
          </w:p>
        </w:tc>
      </w:tr>
      <w:tr>
        <w:trPr>
          <w:trHeight w:val="227"/>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(150,421)</w:t>
            </w:r>
          </w:p>
        </w:tc>
        <w:tc>
          <w:tcPr>
            <w:tcW w:w="0" w:type="dxa"/>
            <w:vAlign w:val="bottom"/>
          </w:tcPr>
          <w:p>
            <w:pPr>
              <w:spacing w:after="0"/>
              <w:rPr>
                <w:sz w:val="1"/>
                <w:szCs w:val="1"/>
                <w:color w:val="auto"/>
              </w:rPr>
            </w:pPr>
          </w:p>
        </w:tc>
      </w:tr>
      <w:tr>
        <w:trPr>
          <w:trHeight w:val="22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1,370,836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1,272,784</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71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60" w:type="dxa"/>
            <w:vAlign w:val="bottom"/>
            <w:tcBorders>
              <w:top w:val="single" w:sz="8" w:color="auto"/>
            </w:tcBorders>
          </w:tcPr>
          <w:p>
            <w:pPr>
              <w:spacing w:after="0"/>
              <w:rPr>
                <w:sz w:val="23"/>
                <w:szCs w:val="23"/>
                <w:color w:val="auto"/>
              </w:rPr>
            </w:pPr>
          </w:p>
        </w:tc>
        <w:tc>
          <w:tcPr>
            <w:tcW w:w="1540" w:type="dxa"/>
            <w:vAlign w:val="bottom"/>
            <w:tcBorders>
              <w:top w:val="single" w:sz="8" w:color="auto"/>
            </w:tcBorders>
          </w:tcPr>
          <w:p>
            <w:pPr>
              <w:spacing w:after="0"/>
              <w:rPr>
                <w:sz w:val="23"/>
                <w:szCs w:val="23"/>
                <w:color w:val="auto"/>
              </w:rPr>
            </w:pPr>
          </w:p>
        </w:tc>
        <w:tc>
          <w:tcPr>
            <w:tcW w:w="4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3"/>
                <w:szCs w:val="23"/>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0"/>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68,650</w:t>
            </w:r>
          </w:p>
        </w:tc>
        <w:tc>
          <w:tcPr>
            <w:tcW w:w="0" w:type="dxa"/>
            <w:vAlign w:val="bottom"/>
          </w:tcPr>
          <w:p>
            <w:pPr>
              <w:spacing w:after="0"/>
              <w:rPr>
                <w:sz w:val="1"/>
                <w:szCs w:val="1"/>
                <w:color w:val="auto"/>
              </w:rPr>
            </w:pPr>
          </w:p>
        </w:tc>
      </w:tr>
      <w:tr>
        <w:trPr>
          <w:trHeight w:val="227"/>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705,756</w:t>
            </w:r>
          </w:p>
        </w:tc>
        <w:tc>
          <w:tcPr>
            <w:tcW w:w="0" w:type="dxa"/>
            <w:vAlign w:val="bottom"/>
          </w:tcPr>
          <w:p>
            <w:pPr>
              <w:spacing w:after="0"/>
              <w:rPr>
                <w:sz w:val="1"/>
                <w:szCs w:val="1"/>
                <w:color w:val="auto"/>
              </w:rPr>
            </w:pPr>
          </w:p>
        </w:tc>
      </w:tr>
      <w:tr>
        <w:trPr>
          <w:trHeight w:val="227"/>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2,170,149</w:t>
            </w:r>
          </w:p>
        </w:tc>
        <w:tc>
          <w:tcPr>
            <w:tcW w:w="0" w:type="dxa"/>
            <w:vAlign w:val="bottom"/>
          </w:tcPr>
          <w:p>
            <w:pPr>
              <w:spacing w:after="0"/>
              <w:rPr>
                <w:sz w:val="1"/>
                <w:szCs w:val="1"/>
                <w:color w:val="auto"/>
              </w:rPr>
            </w:pPr>
          </w:p>
        </w:tc>
      </w:tr>
      <w:tr>
        <w:trPr>
          <w:trHeight w:val="22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2,964,087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2,944,555</w:t>
            </w:r>
          </w:p>
        </w:tc>
        <w:tc>
          <w:tcPr>
            <w:tcW w:w="0" w:type="dxa"/>
            <w:vAlign w:val="bottom"/>
          </w:tcPr>
          <w:p>
            <w:pPr>
              <w:spacing w:after="0"/>
              <w:rPr>
                <w:sz w:val="1"/>
                <w:szCs w:val="1"/>
                <w:color w:val="auto"/>
              </w:rPr>
            </w:pPr>
          </w:p>
        </w:tc>
      </w:tr>
      <w:tr>
        <w:trPr>
          <w:trHeight w:val="227"/>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(1,824,932)</w:t>
            </w:r>
          </w:p>
        </w:tc>
        <w:tc>
          <w:tcPr>
            <w:tcW w:w="0" w:type="dxa"/>
            <w:vAlign w:val="bottom"/>
          </w:tcPr>
          <w:p>
            <w:pPr>
              <w:spacing w:after="0"/>
              <w:rPr>
                <w:sz w:val="1"/>
                <w:szCs w:val="1"/>
                <w:color w:val="auto"/>
              </w:rPr>
            </w:pPr>
          </w:p>
        </w:tc>
      </w:tr>
      <w:tr>
        <w:trPr>
          <w:trHeight w:val="22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1,114,380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1,119,623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totaled $43,718 and $38,669 for the three months ended March 31, 2026 and 2025,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7. Credit Losses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Due to the short-term nature of such receivables, the estimated amount of accounts receivable that may not be collected is based on the aging of the accounts receivable balances and other historical information on the financial condition of customers adjusted for current conditions. The Company has elected the practical expedient to assume that current conditions as of the balance sheet date do not change for the remaining life of the assets. Balances are written off when determined to be uncollectible.</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deducted from accounts receivable that represent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net of recoveries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w:t>
            </w: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8. Goodwill and Other Intangible Assets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Clean Energy &amp;</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Imaging &amp;</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Pumps &amp; Process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Climate &amp;</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Fueling</w:t>
            </w:r>
          </w:p>
        </w:tc>
        <w:tc>
          <w:tcPr>
            <w:tcW w:w="80" w:type="dxa"/>
            <w:vAlign w:val="bottom"/>
          </w:tcPr>
          <w:p>
            <w:pPr>
              <w:spacing w:after="0"/>
              <w:rPr>
                <w:sz w:val="18"/>
                <w:szCs w:val="18"/>
                <w:color w:val="auto"/>
              </w:rPr>
            </w:pPr>
          </w:p>
        </w:tc>
        <w:tc>
          <w:tcPr>
            <w:tcW w:w="13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430,807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1,759,039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1,607,260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513,324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5,430,038</w:t>
            </w: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(29,058)</w:t>
            </w: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428,172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1,751,116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1,111,689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1,597,558</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512,860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5,401,395</w:t>
            </w:r>
          </w:p>
        </w:tc>
        <w:tc>
          <w:tcPr>
            <w:tcW w:w="0" w:type="dxa"/>
            <w:vAlign w:val="bottom"/>
          </w:tcPr>
          <w:p>
            <w:pPr>
              <w:spacing w:after="0"/>
              <w:rPr>
                <w:sz w:val="1"/>
                <w:szCs w:val="1"/>
                <w:color w:val="auto"/>
              </w:rPr>
            </w:pPr>
          </w:p>
        </w:tc>
      </w:tr>
      <w:tr>
        <w:trPr>
          <w:trHeight w:val="20"/>
        </w:trPr>
        <w:tc>
          <w:tcPr>
            <w:tcW w:w="29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Company’s definite-lived and indefinite-lived intangible assets by major asset class were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9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900" w:type="dxa"/>
            <w:vAlign w:val="bottom"/>
          </w:tcPr>
          <w:p>
            <w:pPr>
              <w:spacing w:after="0"/>
              <w:rPr>
                <w:sz w:val="14"/>
                <w:szCs w:val="14"/>
                <w:color w:val="auto"/>
              </w:rPr>
            </w:pPr>
          </w:p>
        </w:tc>
        <w:tc>
          <w:tcPr>
            <w:tcW w:w="1340" w:type="dxa"/>
            <w:vAlign w:val="bottom"/>
            <w:gridSpan w:val="4"/>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240"/>
              <w:spacing w:after="0" w:line="167"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14"/>
                <w:szCs w:val="14"/>
                <w:color w:val="auto"/>
              </w:rPr>
            </w:pPr>
          </w:p>
        </w:tc>
        <w:tc>
          <w:tcPr>
            <w:tcW w:w="1200" w:type="dxa"/>
            <w:vAlign w:val="bottom"/>
            <w:gridSpan w:val="2"/>
          </w:tcPr>
          <w:p>
            <w:pPr>
              <w:ind w:left="80"/>
              <w:spacing w:after="0" w:line="167"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14"/>
                <w:szCs w:val="14"/>
                <w:color w:val="auto"/>
              </w:rPr>
            </w:pPr>
          </w:p>
        </w:tc>
        <w:tc>
          <w:tcPr>
            <w:tcW w:w="1200" w:type="dxa"/>
            <w:vAlign w:val="bottom"/>
            <w:gridSpan w:val="2"/>
          </w:tcPr>
          <w:p>
            <w:pPr>
              <w:jc w:val="right"/>
              <w:ind w:right="12"/>
              <w:spacing w:after="0" w:line="167"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intangibles</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2,648,589</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1,401,323</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2,663,551</w:t>
            </w:r>
          </w:p>
        </w:tc>
        <w:tc>
          <w:tcPr>
            <w:tcW w:w="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1,369,528</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1,294,023</w:t>
            </w:r>
          </w:p>
        </w:tc>
        <w:tc>
          <w:tcPr>
            <w:tcW w:w="0" w:type="dxa"/>
            <w:vAlign w:val="bottom"/>
          </w:tcPr>
          <w:p>
            <w:pPr>
              <w:spacing w:after="0"/>
              <w:rPr>
                <w:sz w:val="1"/>
                <w:szCs w:val="1"/>
                <w:color w:val="auto"/>
              </w:rPr>
            </w:pPr>
          </w:p>
        </w:tc>
      </w:tr>
      <w:tr>
        <w:trPr>
          <w:trHeight w:val="227"/>
        </w:trPr>
        <w:tc>
          <w:tcPr>
            <w:tcW w:w="2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183,987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130,937</w:t>
            </w:r>
          </w:p>
        </w:tc>
        <w:tc>
          <w:tcPr>
            <w:tcW w:w="0" w:type="dxa"/>
            <w:vAlign w:val="bottom"/>
          </w:tcPr>
          <w:p>
            <w:pPr>
              <w:spacing w:after="0"/>
              <w:rPr>
                <w:sz w:val="1"/>
                <w:szCs w:val="1"/>
                <w:color w:val="auto"/>
              </w:rPr>
            </w:pPr>
          </w:p>
        </w:tc>
      </w:tr>
      <w:tr>
        <w:trPr>
          <w:trHeight w:val="227"/>
        </w:trPr>
        <w:tc>
          <w:tcPr>
            <w:tcW w:w="2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Patents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48,977</w:t>
            </w:r>
          </w:p>
        </w:tc>
        <w:tc>
          <w:tcPr>
            <w:tcW w:w="0" w:type="dxa"/>
            <w:vAlign w:val="bottom"/>
          </w:tcPr>
          <w:p>
            <w:pPr>
              <w:spacing w:after="0"/>
              <w:rPr>
                <w:sz w:val="1"/>
                <w:szCs w:val="1"/>
                <w:color w:val="auto"/>
              </w:rPr>
            </w:pPr>
          </w:p>
        </w:tc>
      </w:tr>
      <w:tr>
        <w:trPr>
          <w:trHeight w:val="227"/>
        </w:trPr>
        <w:tc>
          <w:tcPr>
            <w:tcW w:w="2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Unpatented technologies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208,929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203,960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165,872</w:t>
            </w:r>
          </w:p>
        </w:tc>
        <w:tc>
          <w:tcPr>
            <w:tcW w:w="0" w:type="dxa"/>
            <w:vAlign w:val="bottom"/>
          </w:tcPr>
          <w:p>
            <w:pPr>
              <w:spacing w:after="0"/>
              <w:rPr>
                <w:sz w:val="1"/>
                <w:szCs w:val="1"/>
                <w:color w:val="auto"/>
              </w:rPr>
            </w:pPr>
          </w:p>
        </w:tc>
      </w:tr>
      <w:tr>
        <w:trPr>
          <w:trHeight w:val="227"/>
        </w:trPr>
        <w:tc>
          <w:tcPr>
            <w:tcW w:w="2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75,919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0" w:type="dxa"/>
            <w:vAlign w:val="bottom"/>
          </w:tcPr>
          <w:p>
            <w:pPr>
              <w:spacing w:after="0"/>
              <w:rPr>
                <w:sz w:val="1"/>
                <w:szCs w:val="1"/>
                <w:color w:val="auto"/>
              </w:rPr>
            </w:pPr>
          </w:p>
        </w:tc>
      </w:tr>
      <w:tr>
        <w:trPr>
          <w:trHeight w:val="227"/>
        </w:trPr>
        <w:tc>
          <w:tcPr>
            <w:tcW w:w="2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3,644,117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2,038,477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1,605,640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1,993,812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1,662,884</w:t>
            </w:r>
          </w:p>
        </w:tc>
        <w:tc>
          <w:tcPr>
            <w:tcW w:w="0" w:type="dxa"/>
            <w:vAlign w:val="bottom"/>
          </w:tcPr>
          <w:p>
            <w:pPr>
              <w:spacing w:after="0"/>
              <w:rPr>
                <w:sz w:val="1"/>
                <w:szCs w:val="1"/>
                <w:color w:val="auto"/>
              </w:rPr>
            </w:pPr>
          </w:p>
        </w:tc>
      </w:tr>
      <w:tr>
        <w:trPr>
          <w:trHeight w:val="22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96,732</w:t>
            </w:r>
          </w:p>
        </w:tc>
        <w:tc>
          <w:tcPr>
            <w:tcW w:w="0" w:type="dxa"/>
            <w:vAlign w:val="bottom"/>
          </w:tcPr>
          <w:p>
            <w:pPr>
              <w:spacing w:after="0"/>
              <w:rPr>
                <w:sz w:val="1"/>
                <w:szCs w:val="1"/>
                <w:color w:val="auto"/>
              </w:rPr>
            </w:pPr>
          </w:p>
        </w:tc>
      </w:tr>
      <w:tr>
        <w:trPr>
          <w:trHeight w:val="245"/>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2,038,477</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3,753,428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1,993,812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1,759,616</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For the three months ended March 31, 2026 and 2025, amortization expense was $53,703 and $48,749, respectively. Amortization expense is primarily comprised of acquisition-related intangible amortization.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Restructuring Activities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restructuring charges by segment were as follows: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0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3140" w:type="dxa"/>
            <w:vAlign w:val="bottom"/>
            <w:tcBorders>
              <w:bottom w:val="single" w:sz="8" w:color="auto"/>
            </w:tcBorders>
            <w:gridSpan w:val="5"/>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200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94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27"/>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7"/>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7"/>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7"/>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5"/>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These amounts are classified in the condensed consolidated statements of earnings as follows: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1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94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45"/>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restructuring expenses of $30,211 incurred during the three months ended March 31, 2026 were primarily related to headcount reductions and exit costs in the Pumps &amp; Process Solutions, Climate &amp; Sustainability Technologies and Clean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Energy &amp; Fueling segments. These restructuring programs were initiated in 2025 and 2026 and the Company will continue to make proactive adjustments to its cost structure to align with current demand trends.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6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00" w:type="dxa"/>
            <w:vAlign w:val="bottom"/>
          </w:tcPr>
          <w:p>
            <w:pPr>
              <w:spacing w:after="0"/>
              <w:rPr>
                <w:sz w:val="21"/>
                <w:szCs w:val="21"/>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Exit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w:t>
            </w:r>
          </w:p>
        </w:tc>
      </w:tr>
      <w:tr>
        <w:trPr>
          <w:trHeight w:val="22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93"/>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30,211</w:t>
            </w:r>
          </w:p>
        </w:tc>
      </w:tr>
      <w:tr>
        <w:trPr>
          <w:trHeight w:val="22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r>
      <w:tr>
        <w:trPr>
          <w:trHeight w:val="22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67"/>
              <w:spacing w:after="0" w:line="227" w:lineRule="exact"/>
              <w:rPr>
                <w:sz w:val="20"/>
                <w:szCs w:val="20"/>
                <w:color w:val="auto"/>
              </w:rPr>
            </w:pPr>
            <w:r>
              <w:rPr>
                <w:rFonts w:ascii="Times New Roman" w:cs="Times New Roman" w:eastAsia="Times New Roman" w:hAnsi="Times New Roman"/>
                <w:sz w:val="18"/>
                <w:szCs w:val="18"/>
                <w:color w:val="auto"/>
              </w:rPr>
              <w:t xml:space="preserve">(4,454)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45"/>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160" w:hanging="153"/>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Exit reserves activity includes non-cash asset charges within the Climate &amp; Sustainability Technologies and Clean Energy &amp; Fueling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10. Borrowings</w:t>
            </w:r>
          </w:p>
        </w:tc>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consist of the following:</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16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611"/>
              <w:spacing w:after="0" w:line="253" w:lineRule="exact"/>
              <w:rPr>
                <w:sz w:val="20"/>
                <w:szCs w:val="20"/>
                <w:color w:val="auto"/>
              </w:rPr>
            </w:pPr>
            <w:r>
              <w:rPr>
                <w:rFonts w:ascii="Times New Roman" w:cs="Times New Roman" w:eastAsia="Times New Roman" w:hAnsi="Times New Roman"/>
                <w:sz w:val="18"/>
                <w:szCs w:val="18"/>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4"/>
                <w:szCs w:val="14"/>
                <w:color w:val="auto"/>
              </w:rPr>
            </w:pPr>
          </w:p>
        </w:tc>
        <w:tc>
          <w:tcPr>
            <w:tcW w:w="1260" w:type="dxa"/>
            <w:vAlign w:val="bottom"/>
          </w:tcPr>
          <w:p>
            <w:pPr>
              <w:jc w:val="right"/>
              <w:ind w:right="91"/>
              <w:spacing w:after="0" w:line="167"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0"/>
        </w:trPr>
        <w:tc>
          <w:tcPr>
            <w:tcW w:w="6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7"/>
        </w:trPr>
        <w:tc>
          <w:tcPr>
            <w:tcW w:w="6840" w:type="dxa"/>
            <w:vAlign w:val="bottom"/>
            <w:gridSpan w:val="2"/>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1.25% 10-year notes due November 9, 2026 (euro-denominated)</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706,677</w:t>
            </w:r>
          </w:p>
        </w:tc>
        <w:tc>
          <w:tcPr>
            <w:tcW w:w="0" w:type="dxa"/>
            <w:vAlign w:val="bottom"/>
          </w:tcPr>
          <w:p>
            <w:pPr>
              <w:spacing w:after="0"/>
              <w:rPr>
                <w:sz w:val="1"/>
                <w:szCs w:val="1"/>
                <w:color w:val="auto"/>
              </w:rPr>
            </w:pPr>
          </w:p>
        </w:tc>
      </w:tr>
      <w:tr>
        <w:trPr>
          <w:trHeight w:val="22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0.750% 8-year notes due November 4, 2027 (euro-denominated)</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588,082</w:t>
            </w:r>
          </w:p>
        </w:tc>
        <w:tc>
          <w:tcPr>
            <w:tcW w:w="0" w:type="dxa"/>
            <w:vAlign w:val="bottom"/>
          </w:tcPr>
          <w:p>
            <w:pPr>
              <w:spacing w:after="0"/>
              <w:rPr>
                <w:sz w:val="1"/>
                <w:szCs w:val="1"/>
                <w:color w:val="auto"/>
              </w:rPr>
            </w:pP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6.65% 30-year debentures due June 1, 2028</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199,757</w:t>
            </w:r>
          </w:p>
        </w:tc>
        <w:tc>
          <w:tcPr>
            <w:tcW w:w="0" w:type="dxa"/>
            <w:vAlign w:val="bottom"/>
          </w:tcPr>
          <w:p>
            <w:pPr>
              <w:spacing w:after="0"/>
              <w:rPr>
                <w:sz w:val="1"/>
                <w:szCs w:val="1"/>
                <w:color w:val="auto"/>
              </w:rPr>
            </w:pPr>
          </w:p>
        </w:tc>
      </w:tr>
      <w:tr>
        <w:trPr>
          <w:trHeight w:val="22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2.950% 10-year notes due November 4, 2029</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298,544</w:t>
            </w:r>
          </w:p>
        </w:tc>
        <w:tc>
          <w:tcPr>
            <w:tcW w:w="0" w:type="dxa"/>
            <w:vAlign w:val="bottom"/>
          </w:tcPr>
          <w:p>
            <w:pPr>
              <w:spacing w:after="0"/>
              <w:rPr>
                <w:sz w:val="1"/>
                <w:szCs w:val="1"/>
                <w:color w:val="auto"/>
              </w:rPr>
            </w:pP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3.50% 8-year notes due November 12, 2033 (euro-denominated)</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642,927</w:t>
            </w:r>
          </w:p>
        </w:tc>
        <w:tc>
          <w:tcPr>
            <w:tcW w:w="0" w:type="dxa"/>
            <w:vAlign w:val="bottom"/>
          </w:tcPr>
          <w:p>
            <w:pPr>
              <w:spacing w:after="0"/>
              <w:rPr>
                <w:sz w:val="1"/>
                <w:szCs w:val="1"/>
                <w:color w:val="auto"/>
              </w:rPr>
            </w:pPr>
          </w:p>
        </w:tc>
      </w:tr>
      <w:tr>
        <w:trPr>
          <w:trHeight w:val="22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5.375% 30-year debentures due October 15, 2035</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297,557</w:t>
            </w:r>
          </w:p>
        </w:tc>
        <w:tc>
          <w:tcPr>
            <w:tcW w:w="0" w:type="dxa"/>
            <w:vAlign w:val="bottom"/>
          </w:tcPr>
          <w:p>
            <w:pPr>
              <w:spacing w:after="0"/>
              <w:rPr>
                <w:sz w:val="1"/>
                <w:szCs w:val="1"/>
                <w:color w:val="auto"/>
              </w:rPr>
            </w:pPr>
          </w:p>
        </w:tc>
      </w:tr>
      <w:tr>
        <w:trPr>
          <w:trHeight w:val="227"/>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 30-year notes due March 15, 2038</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248,618</w:t>
            </w:r>
          </w:p>
        </w:tc>
        <w:tc>
          <w:tcPr>
            <w:tcW w:w="0" w:type="dxa"/>
            <w:vAlign w:val="bottom"/>
          </w:tcPr>
          <w:p>
            <w:pPr>
              <w:spacing w:after="0"/>
              <w:rPr>
                <w:sz w:val="1"/>
                <w:szCs w:val="1"/>
                <w:color w:val="auto"/>
              </w:rPr>
            </w:pPr>
          </w:p>
        </w:tc>
      </w:tr>
      <w:tr>
        <w:trPr>
          <w:trHeight w:val="227"/>
        </w:trPr>
        <w:tc>
          <w:tcPr>
            <w:tcW w:w="6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5.375% 30-year notes due March 1, 2041</w:t>
            </w:r>
          </w:p>
        </w:tc>
        <w:tc>
          <w:tcPr>
            <w:tcW w:w="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345,810</w:t>
            </w:r>
          </w:p>
        </w:tc>
        <w:tc>
          <w:tcPr>
            <w:tcW w:w="0" w:type="dxa"/>
            <w:vAlign w:val="bottom"/>
          </w:tcPr>
          <w:p>
            <w:pPr>
              <w:spacing w:after="0"/>
              <w:rPr>
                <w:sz w:val="1"/>
                <w:szCs w:val="1"/>
                <w:color w:val="auto"/>
              </w:rPr>
            </w:pPr>
          </w:p>
        </w:tc>
      </w:tr>
      <w:tr>
        <w:trPr>
          <w:trHeight w:val="22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3,327,972</w:t>
            </w:r>
          </w:p>
        </w:tc>
        <w:tc>
          <w:tcPr>
            <w:tcW w:w="0" w:type="dxa"/>
            <w:vAlign w:val="bottom"/>
          </w:tcPr>
          <w:p>
            <w:pPr>
              <w:spacing w:after="0"/>
              <w:rPr>
                <w:sz w:val="1"/>
                <w:szCs w:val="1"/>
                <w:color w:val="auto"/>
              </w:rPr>
            </w:pPr>
          </w:p>
        </w:tc>
      </w:tr>
      <w:tr>
        <w:trPr>
          <w:trHeight w:val="227"/>
        </w:trPr>
        <w:tc>
          <w:tcPr>
            <w:tcW w:w="6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long-term debt current portion</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(706,677)</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2,621,295</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7"/>
        <w:spacing w:after="0" w:line="244" w:lineRule="auto"/>
        <w:tabs>
          <w:tab w:leader="none" w:pos="165"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Carrying amount is net of unamortized debt discount and deferred debt issuance costs. Total unamortized debt discounts on total long-term debt were $8.0 million and $8.6 million as of March 31, 2026 and December 31, 2025, respectively. Total deferred debt issuance costs on total long-term debt were $9.2 million and $9.7 million as of March 31, 2026 and December 31, 2025, respectively.</w:t>
      </w:r>
    </w:p>
    <w:p>
      <w:pPr>
        <w:spacing w:after="0" w:line="22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March 31, 2026, the Company maintained a $1.0 billion five-year unsecured revolving credit facility and a $500.0 million 364-day unsecured revolving credit facility (together, the "Credit Agreements") with a syndicate of banks. The 364-day credit facility expired on April 2, 2026. The Credit Agreements are designated as a liquidity back-stop for the Company's commercial paper program and also are available for general corporate purposes. 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 minimum interest coverage ratio of consolidated EBITDA to consolidated net interest expense of not less than 3.0 to 1. As of March 31, 2026 and December 31, 2025, there were no outstanding borrowings under the five-year or 364-day credit facilities.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April 2, 2026, the Company entered into a new $1.5 billion five-year unsecured revolving credit facility with a syndicate of banks on substantially similar terms as the existing Credit Agreements. The new five-year credit facility replaced the existing Credit Agreements. See Note 20 — Subsequent Events for additional details.</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was in compliance with all covenants in the Credit Agreements and other long-term debt covenants at March 31, 2026 and had an interest coverage ratio of consolidated EBITDA to consolidated net interest expense of 40.8 to 1.</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other Guarantees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March 31, 2026, the Company had approximately $230.0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Financial Instruments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March 31, 2026 and December 31, 2025, the Company had contracts with total notional amounts of $131,207 and $153,765, respectively, to exchange currencies, principally euro, pound sterling, Swedish krona, Canadian dollar, Chinese yuan, and Swiss franc. The Company believes it is probable that all forecasted cash flow transactions will occur.</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the Company had outstanding contracts with a total notional amount of $88,363 and $74,403 as of March 31, 2026 and December 31, 2025,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fair values of derivative instruments designated as cash flow hedges held by the Company as of March 31, 2026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the balance sheet lines in which they are recorded: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6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0"/>
        </w:trPr>
        <w:tc>
          <w:tcPr>
            <w:tcW w:w="4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r>
      <w:tr>
        <w:trPr>
          <w:trHeight w:val="22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r>
      <w:tr>
        <w:trPr>
          <w:trHeight w:val="232"/>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r>
    </w:tbl>
    <w:p>
      <w:pPr>
        <w:spacing w:after="0" w:line="3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For a cash flow hedge, the change in estimated fair value of a hedging instrument is recorded in accumulated other comprehensive earnings (loss), net of tax as a separate component of the condensed consolidated statements of stockholders' equity and is reclassified into revenues or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197"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7"/>
          <w:szCs w:val="17"/>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designates certain non-derivative instruments as net investment hedges to hedge the net assets of certain foreign subsidiaries which are exposed to volatility in foreign currency exchange rates. The Company has designated the €600,000, €500,000, and €550,000 of euro-denominated notes issued November 9, 2016, November 4, 2019, and November 12, 2025, respectively, as hedges of its net investment in euro-denominated operations.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Changes in the value of the euro-denominated debt, which are calculated using the spot method, are recognized in foreign currency translation adjustments within other comprehensive earnings (loss) of the condensed consolidated statements of comprehensive earnings. These changes in fair value of the euro-denominated debt resulting from exchange rate differences are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changes in the net investment due to the high degree of effectiveness between the hedging instruments and the exposure being hedged.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earnings (loss) for the gains (losses) on net investment hedges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8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euro-denominated debt</w:t>
            </w: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(42,413)</w:t>
            </w:r>
          </w:p>
        </w:tc>
      </w:tr>
      <w:tr>
        <w:trPr>
          <w:trHeight w:val="227"/>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(8,760)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w:t>
            </w: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net investment hedges, net of tax</w:t>
            </w:r>
          </w:p>
        </w:tc>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30,105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March 31, 2026 and 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0"/>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07"/>
        </w:trPr>
        <w:tc>
          <w:tcPr>
            <w:tcW w:w="7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estimated fair value of long-term debt at March 31, 2026 and December 31, 2025, was $2,600,274 and $2,652,750, respectively. The estimated fair value of long-term debt is based on quoted market prices for similar instruments and is, therefore, classified as Level 2 within the fair value hierarchy.</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carrying values of cash and cash equivalents, trade receivables, accounts payable, and current portion of long-term debt approximate their fair values as of March 31, 2026 and December 31, 2025 due to the short-term nature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Income Taxes</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2026 and 2025 were 20.1% and 19.0%, respectively. The increase in the effective tax rate for the three months ended March 31, 2026 relative to the prior year comparable period was primarily due to a prior year reorganization.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Dover and its subsidiaries file tax returns in the U.S., including various state and local returns, and in other foreign jurisdictions. The Company is routinely audited by taxing authorities in its filing jurisdictions, and a number of these audits are currently underway. We believe adequate provision has been made for all income tax uncertainties.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Equity Incentive Program</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typically makes its annual grants of equity awards pursuant to actions taken by the Compensation Committee of the Board of Directors at its regularly scheduled first quarter meeting. During the three months ended March 31, 2026, the Company issued stock-settled appreciation rights ("SARs") covering 266,199 shares, performance share awards ("PSAs") of 32,294 and restricted stock units ("RSUs") of 56,039. During the three months ended March 31, 2025, the Company issued SARs covering 282,917 shares, PSAs of 34,458 and RSUs of 57,614.</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determining the fair value of the SARs awarded during the respective periods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40" w:type="dxa"/>
            <w:vAlign w:val="bottom"/>
          </w:tcPr>
          <w:p>
            <w:pPr>
              <w:spacing w:after="0"/>
              <w:rPr>
                <w:sz w:val="20"/>
                <w:szCs w:val="20"/>
                <w:color w:val="auto"/>
              </w:rPr>
            </w:pPr>
          </w:p>
        </w:tc>
        <w:tc>
          <w:tcPr>
            <w:tcW w:w="204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160" w:type="dxa"/>
            <w:vAlign w:val="bottom"/>
            <w:tcBorders>
              <w:bottom w:val="single" w:sz="8" w:color="auto"/>
            </w:tcBorders>
          </w:tcPr>
          <w:p>
            <w:pPr>
              <w:spacing w:after="0"/>
              <w:rPr>
                <w:sz w:val="20"/>
                <w:szCs w:val="20"/>
                <w:color w:val="auto"/>
              </w:rPr>
            </w:pPr>
          </w:p>
        </w:tc>
      </w:tr>
      <w:tr>
        <w:trPr>
          <w:trHeight w:val="220"/>
        </w:trPr>
        <w:tc>
          <w:tcPr>
            <w:tcW w:w="80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r>
      <w:tr>
        <w:trPr>
          <w:trHeight w:val="22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30.50 %</w:t>
            </w:r>
          </w:p>
        </w:tc>
      </w:tr>
      <w:tr>
        <w:trPr>
          <w:trHeight w:val="22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r>
      <w:tr>
        <w:trPr>
          <w:trHeight w:val="232"/>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r>
    </w:tbl>
    <w:p>
      <w:pPr>
        <w:spacing w:after="0" w:line="3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PSAs granted in 2026 and 2025 vest based on the attainment of two equally weighted measures: (i) Dover’s performance relative to established internal metrics (performance condition) and (ii) Dover's performance relative to its peer group (companies listed under the S&amp;P 500 Industrials sector; market condition).</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grant date fair value of the performance condition portion is determined using Dover’s closing stock price at the date of grant and the amount of expense recognized over the vesting period is subject to adjustment based on the expected attainment of the performance condition. The grant date fair value per share of the 2026 and 2025 PSAs' performance condition portion were $231.63 and $202.33,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 date fair value of the 2026 and 2025 market condition portion is determined using the Monte Carlo simulation model. The amount of expense recognized over the vesting period is not subject to change based on future market conditions. The assumptions used in the Monte Carlo model to determine the fair value of the PSAs granted in the respective periods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40" w:type="dxa"/>
            <w:vAlign w:val="bottom"/>
          </w:tcPr>
          <w:p>
            <w:pPr>
              <w:spacing w:after="0"/>
              <w:rPr>
                <w:sz w:val="20"/>
                <w:szCs w:val="20"/>
                <w:color w:val="auto"/>
              </w:rPr>
            </w:pPr>
          </w:p>
        </w:tc>
        <w:tc>
          <w:tcPr>
            <w:tcW w:w="202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PSAs</w:t>
            </w:r>
          </w:p>
        </w:tc>
        <w:tc>
          <w:tcPr>
            <w:tcW w:w="1180" w:type="dxa"/>
            <w:vAlign w:val="bottom"/>
            <w:tcBorders>
              <w:bottom w:val="single" w:sz="8" w:color="auto"/>
            </w:tcBorders>
          </w:tcPr>
          <w:p>
            <w:pPr>
              <w:spacing w:after="0"/>
              <w:rPr>
                <w:sz w:val="20"/>
                <w:szCs w:val="20"/>
                <w:color w:val="auto"/>
              </w:rPr>
            </w:pPr>
          </w:p>
        </w:tc>
      </w:tr>
      <w:tr>
        <w:trPr>
          <w:trHeight w:val="220"/>
        </w:trPr>
        <w:tc>
          <w:tcPr>
            <w:tcW w:w="80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2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23.10 %</w:t>
            </w:r>
          </w:p>
        </w:tc>
      </w:tr>
      <w:tr>
        <w:trPr>
          <w:trHeight w:val="22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r>
      <w:tr>
        <w:trPr>
          <w:trHeight w:val="232"/>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$318.38</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and vesting period for all 2026 and 2025 PSAs is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also has granted RSUs, and the fair value of these awards was determined using Dover's closing stock price on the date of grant, which was $231.63 and $202.33 for RSUs granted in 2026 and 2025, respectively.</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0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8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94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20,960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23,874</w:t>
            </w:r>
          </w:p>
        </w:tc>
      </w:tr>
      <w:tr>
        <w:trPr>
          <w:trHeight w:val="22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(2,195)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(2,504)</w:t>
            </w:r>
          </w:p>
        </w:tc>
      </w:tr>
      <w:tr>
        <w:trPr>
          <w:trHeight w:val="24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4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18,765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21,370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14. Commitments and Contingent Liabilities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March 31, 2026 and December 31, 2025, these estimated liabilities for environmental and other matters, including private party claims for exposure to hazardous substances that are probable and estimable, were not significant.</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estimated liabilities for these other legal matters that are probable and estimable, and at March 31, 2026 and December 31, 2025,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4 — Discontinued and Disposed Operations for details on litigation related to a discontinued operation.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Accruals</w:t>
      </w: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sheets. The changes in the carrying amount of product warranties through March 31, 2026 and 2025,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w:t>
            </w:r>
          </w:p>
        </w:tc>
      </w:tr>
      <w:tr>
        <w:trPr>
          <w:trHeight w:val="22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r>
      <w:tr>
        <w:trPr>
          <w:trHeight w:val="227"/>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 including acquisitions and currency translation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4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Financing</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Outstanding payments related to Supply Chain Financing ("SCF") programs are recorded within accounts payable in our condensed consolidated balance sheets. Amounts due to the SCF programs financial institutions as of March 31, 2026 and December 31, 2025 were approximately $126,694 and $117,884,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Accumulated Other Comprehensive Earnings (Loss)</w:t>
      </w: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Amounts reclassified from accumulated other comprehensive earnings (loss) to earnings during the three months ended March 31, 2026 and 2025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20" w:type="dxa"/>
            <w:vAlign w:val="bottom"/>
          </w:tcPr>
          <w:p>
            <w:pPr>
              <w:spacing w:after="0"/>
              <w:rPr>
                <w:sz w:val="20"/>
                <w:szCs w:val="20"/>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193"/>
        </w:trPr>
        <w:tc>
          <w:tcPr>
            <w:tcW w:w="7620" w:type="dxa"/>
            <w:vAlign w:val="bottom"/>
          </w:tcPr>
          <w:p>
            <w:pPr>
              <w:spacing w:after="0"/>
              <w:rPr>
                <w:sz w:val="16"/>
                <w:szCs w:val="16"/>
                <w:color w:val="auto"/>
              </w:rPr>
            </w:pPr>
          </w:p>
        </w:tc>
        <w:tc>
          <w:tcPr>
            <w:tcW w:w="1200" w:type="dxa"/>
            <w:vAlign w:val="bottom"/>
            <w:tcBorders>
              <w:bottom w:val="single" w:sz="8" w:color="auto"/>
            </w:tcBorders>
          </w:tcPr>
          <w:p>
            <w:pPr>
              <w:jc w:val="right"/>
              <w:ind w:right="51"/>
              <w:spacing w:after="0" w:line="194" w:lineRule="exact"/>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111"/>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6"/>
                <w:szCs w:val="16"/>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94"/>
        </w:trPr>
        <w:tc>
          <w:tcPr>
            <w:tcW w:w="76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Pension plans:</w:t>
            </w: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120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1240" w:type="dxa"/>
            <w:vAlign w:val="bottom"/>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94"/>
        </w:trPr>
        <w:tc>
          <w:tcPr>
            <w:tcW w:w="76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Cash flow hedges:</w:t>
            </w: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reclassified into earnings</w:t>
            </w:r>
          </w:p>
        </w:tc>
        <w:tc>
          <w:tcPr>
            <w:tcW w:w="120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1240" w:type="dxa"/>
            <w:vAlign w:val="bottom"/>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0"/>
        </w:trPr>
        <w:tc>
          <w:tcPr>
            <w:tcW w:w="7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recognizes the amortization of net actuarial gains and losses and prior service costs and credits in other income, net within the condensed consolidated statements of earnings.</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Cash flow hedges consist mainly of foreign currency forward contracts. The Company recognizes the realized gains and losses on its cash flow hedges in the same line item as the hedged transaction, such as revenue or cost of goods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Segment Information</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that engage in business activities from which they may recognize revenues and incur expenses, and that are regularly evaluated by the entity's chief operating decision maker or decision-making group, which is composed of Dover's Group Executive Committee ("GEC"), in making resource allocation decisions and evaluating performance.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five reportable segments are as follows:</w:t>
      </w:r>
    </w:p>
    <w:p>
      <w:pPr>
        <w:spacing w:after="0" w:line="247" w:lineRule="exact"/>
        <w:rPr>
          <w:sz w:val="20"/>
          <w:szCs w:val="20"/>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Products segment provides a wide range of equipment, components, software, solutions and services to the vehicle aftermarket, aerospace and defense, industrial winch and hoist, precision soldering and fluid dispensing end-markets.</w:t>
      </w:r>
    </w:p>
    <w:p>
      <w:pPr>
        <w:spacing w:after="0" w:line="189"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1" w:lineRule="exact"/>
        <w:rPr>
          <w:sz w:val="20"/>
          <w:szCs w:val="20"/>
          <w:color w:val="auto"/>
        </w:rPr>
      </w:pPr>
    </w:p>
    <w:p>
      <w:pPr>
        <w:jc w:val="both"/>
        <w:ind w:left="640" w:hanging="313"/>
        <w:spacing w:after="0" w:line="26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12"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Management uses segment earnings to evaluate segment performance and allocate resources. Segment earnings is defined as earnings before purchase accounting expenses, restructuring and other costs (benefits), (gain) loss on dispositions, corporate expenses/other, interest expense, interest income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Segment financial information and a reconciliation of segment results to consolidated results were as follows: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w w:val="97"/>
              </w:rPr>
              <w:t>Revenue:</w:t>
            </w:r>
          </w:p>
        </w:tc>
        <w:tc>
          <w:tcPr>
            <w:tcW w:w="7360" w:type="dxa"/>
            <w:vAlign w:val="bottom"/>
            <w:tcBorders>
              <w:bottom w:val="single" w:sz="8" w:color="CCEEFF"/>
            </w:tcBorders>
            <w:gridSpan w:val="4"/>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266,639</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254,646</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280,090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493,573</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347,888</w:t>
            </w:r>
          </w:p>
        </w:tc>
        <w:tc>
          <w:tcPr>
            <w:tcW w:w="0" w:type="dxa"/>
            <w:vAlign w:val="bottom"/>
          </w:tcPr>
          <w:p>
            <w:pPr>
              <w:spacing w:after="0"/>
              <w:rPr>
                <w:sz w:val="1"/>
                <w:szCs w:val="1"/>
                <w:color w:val="auto"/>
              </w:rPr>
            </w:pPr>
          </w:p>
        </w:tc>
      </w:tr>
      <w:tr>
        <w:trPr>
          <w:trHeight w:val="220"/>
        </w:trPr>
        <w:tc>
          <w:tcPr>
            <w:tcW w:w="8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1,867,345</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45"/>
        </w:trPr>
        <w:tc>
          <w:tcPr>
            <w:tcW w:w="81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1,866,059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6"/>
            <w:vMerge w:val="restart"/>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Adjusted cost of goods and services:</w:t>
            </w:r>
            <w:r>
              <w:rPr>
                <w:rFonts w:ascii="Times New Roman" w:cs="Times New Roman" w:eastAsia="Times New Roman" w:hAnsi="Times New Roman"/>
                <w:sz w:val="20"/>
                <w:szCs w:val="20"/>
                <w:b w:val="1"/>
                <w:bCs w:val="1"/>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10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315,194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244,700</w:t>
            </w:r>
          </w:p>
        </w:tc>
        <w:tc>
          <w:tcPr>
            <w:tcW w:w="0" w:type="dxa"/>
            <w:vAlign w:val="bottom"/>
          </w:tcPr>
          <w:p>
            <w:pPr>
              <w:spacing w:after="0"/>
              <w:rPr>
                <w:sz w:val="1"/>
                <w:szCs w:val="1"/>
                <w:color w:val="auto"/>
              </w:rPr>
            </w:pPr>
          </w:p>
        </w:tc>
      </w:tr>
      <w:tr>
        <w:trPr>
          <w:trHeight w:val="220"/>
        </w:trPr>
        <w:tc>
          <w:tcPr>
            <w:tcW w:w="8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Total adjusted segment cost of goods and services</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8080" w:type="dxa"/>
            <w:vAlign w:val="bottom"/>
            <w:gridSpan w:val="5"/>
            <w:shd w:val="clear" w:color="auto" w:fill="CCEEFF"/>
          </w:tcPr>
          <w:p>
            <w:pPr>
              <w:spacing w:after="0" w:line="154" w:lineRule="exact"/>
              <w:rPr>
                <w:sz w:val="20"/>
                <w:szCs w:val="20"/>
                <w:color w:val="auto"/>
              </w:rPr>
            </w:pPr>
            <w:r>
              <w:rPr>
                <w:rFonts w:ascii="Times New Roman" w:cs="Times New Roman" w:eastAsia="Times New Roman" w:hAnsi="Times New Roman"/>
                <w:sz w:val="13"/>
                <w:szCs w:val="13"/>
                <w:b w:val="1"/>
                <w:bCs w:val="1"/>
                <w:color w:val="auto"/>
              </w:rPr>
              <w:t>Adjusted selling, general and administrative expenses:</w:t>
            </w:r>
            <w:r>
              <w:rPr>
                <w:rFonts w:ascii="Times New Roman" w:cs="Times New Roman" w:eastAsia="Times New Roman" w:hAnsi="Times New Roman"/>
                <w:sz w:val="17"/>
                <w:szCs w:val="17"/>
                <w:b w:val="1"/>
                <w:bCs w:val="1"/>
                <w:color w:val="auto"/>
                <w:vertAlign w:val="superscript"/>
              </w:rPr>
              <w:t>(2)</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406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4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39,100</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37,452</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51,069</w:t>
            </w:r>
          </w:p>
        </w:tc>
        <w:tc>
          <w:tcPr>
            <w:tcW w:w="0" w:type="dxa"/>
            <w:vAlign w:val="bottom"/>
          </w:tcPr>
          <w:p>
            <w:pPr>
              <w:spacing w:after="0"/>
              <w:rPr>
                <w:sz w:val="1"/>
                <w:szCs w:val="1"/>
                <w:color w:val="auto"/>
              </w:rPr>
            </w:pPr>
          </w:p>
        </w:tc>
      </w:tr>
      <w:tr>
        <w:trPr>
          <w:trHeight w:val="245"/>
        </w:trPr>
        <w:tc>
          <w:tcPr>
            <w:tcW w:w="81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segment selling, general and administrative expenses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347,855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6"/>
            <w:vMerge w:val="restart"/>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0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44,991</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151,275</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0" w:type="dxa"/>
            <w:vAlign w:val="bottom"/>
          </w:tcPr>
          <w:p>
            <w:pPr>
              <w:spacing w:after="0"/>
              <w:rPr>
                <w:sz w:val="1"/>
                <w:szCs w:val="1"/>
                <w:color w:val="auto"/>
              </w:rPr>
            </w:pPr>
          </w:p>
        </w:tc>
      </w:tr>
      <w:tr>
        <w:trPr>
          <w:trHeight w:val="220"/>
        </w:trPr>
        <w:tc>
          <w:tcPr>
            <w:tcW w:w="8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410,727</w:t>
            </w:r>
          </w:p>
        </w:tc>
        <w:tc>
          <w:tcPr>
            <w:tcW w:w="0" w:type="dxa"/>
            <w:vAlign w:val="bottom"/>
          </w:tcPr>
          <w:p>
            <w:pPr>
              <w:spacing w:after="0"/>
              <w:rPr>
                <w:sz w:val="1"/>
                <w:szCs w:val="1"/>
                <w:color w:val="auto"/>
              </w:rPr>
            </w:pPr>
          </w:p>
        </w:tc>
      </w:tr>
      <w:tr>
        <w:trPr>
          <w:trHeight w:val="227"/>
        </w:trPr>
        <w:tc>
          <w:tcPr>
            <w:tcW w:w="8100" w:type="dxa"/>
            <w:vAlign w:val="bottom"/>
            <w:gridSpan w:val="6"/>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49,104</w:t>
            </w:r>
          </w:p>
        </w:tc>
        <w:tc>
          <w:tcPr>
            <w:tcW w:w="0" w:type="dxa"/>
            <w:vAlign w:val="bottom"/>
          </w:tcPr>
          <w:p>
            <w:pPr>
              <w:spacing w:after="0"/>
              <w:rPr>
                <w:sz w:val="1"/>
                <w:szCs w:val="1"/>
                <w:color w:val="auto"/>
              </w:rPr>
            </w:pPr>
          </w:p>
        </w:tc>
      </w:tr>
      <w:tr>
        <w:trPr>
          <w:trHeight w:val="227"/>
        </w:trPr>
        <w:tc>
          <w:tcPr>
            <w:tcW w:w="8100" w:type="dxa"/>
            <w:vAlign w:val="bottom"/>
            <w:gridSpan w:val="6"/>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0" w:type="dxa"/>
            <w:vAlign w:val="bottom"/>
          </w:tcPr>
          <w:p>
            <w:pPr>
              <w:spacing w:after="0"/>
              <w:rPr>
                <w:sz w:val="1"/>
                <w:szCs w:val="1"/>
                <w:color w:val="auto"/>
              </w:rPr>
            </w:pPr>
          </w:p>
        </w:tc>
      </w:tr>
      <w:tr>
        <w:trPr>
          <w:trHeight w:val="227"/>
        </w:trPr>
        <w:tc>
          <w:tcPr>
            <w:tcW w:w="8100" w:type="dxa"/>
            <w:vAlign w:val="bottom"/>
            <w:gridSpan w:val="6"/>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27"/>
        </w:trPr>
        <w:tc>
          <w:tcPr>
            <w:tcW w:w="8100" w:type="dxa"/>
            <w:vAlign w:val="bottom"/>
            <w:gridSpan w:val="6"/>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0" w:type="dxa"/>
            <w:vAlign w:val="bottom"/>
          </w:tcPr>
          <w:p>
            <w:pPr>
              <w:spacing w:after="0"/>
              <w:rPr>
                <w:sz w:val="1"/>
                <w:szCs w:val="1"/>
                <w:color w:val="auto"/>
              </w:rPr>
            </w:pPr>
          </w:p>
        </w:tc>
      </w:tr>
      <w:tr>
        <w:trPr>
          <w:trHeight w:val="227"/>
        </w:trPr>
        <w:tc>
          <w:tcPr>
            <w:tcW w:w="8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0" w:type="dxa"/>
            <w:vAlign w:val="bottom"/>
          </w:tcPr>
          <w:p>
            <w:pPr>
              <w:spacing w:after="0"/>
              <w:rPr>
                <w:sz w:val="1"/>
                <w:szCs w:val="1"/>
                <w:color w:val="auto"/>
              </w:rPr>
            </w:pPr>
          </w:p>
        </w:tc>
      </w:tr>
      <w:tr>
        <w:trPr>
          <w:trHeight w:val="227"/>
        </w:trPr>
        <w:tc>
          <w:tcPr>
            <w:tcW w:w="8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0" w:type="dxa"/>
            <w:vAlign w:val="bottom"/>
          </w:tcPr>
          <w:p>
            <w:pPr>
              <w:spacing w:after="0"/>
              <w:rPr>
                <w:sz w:val="1"/>
                <w:szCs w:val="1"/>
                <w:color w:val="auto"/>
              </w:rPr>
            </w:pPr>
          </w:p>
        </w:tc>
      </w:tr>
      <w:tr>
        <w:trPr>
          <w:trHeight w:val="220"/>
        </w:trPr>
        <w:tc>
          <w:tcPr>
            <w:tcW w:w="81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295,381</w:t>
            </w:r>
          </w:p>
        </w:tc>
        <w:tc>
          <w:tcPr>
            <w:tcW w:w="0" w:type="dxa"/>
            <w:vAlign w:val="bottom"/>
          </w:tcPr>
          <w:p>
            <w:pPr>
              <w:spacing w:after="0"/>
              <w:rPr>
                <w:sz w:val="1"/>
                <w:szCs w:val="1"/>
                <w:color w:val="auto"/>
              </w:rPr>
            </w:pPr>
          </w:p>
        </w:tc>
      </w:tr>
      <w:tr>
        <w:trPr>
          <w:trHeight w:val="227"/>
        </w:trPr>
        <w:tc>
          <w:tcPr>
            <w:tcW w:w="8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0" w:type="dxa"/>
            <w:vAlign w:val="bottom"/>
          </w:tcPr>
          <w:p>
            <w:pPr>
              <w:spacing w:after="0"/>
              <w:rPr>
                <w:sz w:val="1"/>
                <w:szCs w:val="1"/>
                <w:color w:val="auto"/>
              </w:rPr>
            </w:pPr>
          </w:p>
        </w:tc>
      </w:tr>
      <w:tr>
        <w:trPr>
          <w:trHeight w:val="220"/>
        </w:trPr>
        <w:tc>
          <w:tcPr>
            <w:tcW w:w="81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80" w:hanging="153"/>
        <w:spacing w:after="0"/>
        <w:tabs>
          <w:tab w:leader="none" w:pos="4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cost of goods and services exclude expenses related to purchase accounting and restructuring and other costs.</w:t>
      </w:r>
    </w:p>
    <w:p>
      <w:pPr>
        <w:ind w:left="320" w:firstLine="7"/>
        <w:spacing w:after="0" w:line="212" w:lineRule="auto"/>
        <w:tabs>
          <w:tab w:leader="none" w:pos="49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selling, general and administrative expenses exclude expenses related to purchase accounting, restructuring and other costs, and gain on dispositions and include other income, net.</w:t>
      </w:r>
    </w:p>
    <w:p>
      <w:pPr>
        <w:spacing w:after="0" w:line="1" w:lineRule="exact"/>
        <w:rPr>
          <w:rFonts w:ascii="Times New Roman" w:cs="Times New Roman" w:eastAsia="Times New Roman" w:hAnsi="Times New Roman"/>
          <w:sz w:val="21"/>
          <w:szCs w:val="21"/>
          <w:color w:val="auto"/>
          <w:vertAlign w:val="superscript"/>
        </w:rPr>
      </w:pPr>
    </w:p>
    <w:p>
      <w:pPr>
        <w:ind w:left="480" w:hanging="153"/>
        <w:spacing w:after="0" w:line="219" w:lineRule="auto"/>
        <w:tabs>
          <w:tab w:leader="none" w:pos="4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Purchase accounting expenses are primarily comprised of amortization of intangible assets.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6" w:lineRule="exact"/>
        <w:rPr>
          <w:sz w:val="20"/>
          <w:szCs w:val="20"/>
          <w:color w:val="auto"/>
        </w:rPr>
      </w:pPr>
    </w:p>
    <w:p>
      <w:pPr>
        <w:ind w:left="320" w:firstLine="7"/>
        <w:spacing w:after="0" w:line="223" w:lineRule="auto"/>
        <w:tabs>
          <w:tab w:leader="none" w:pos="49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 Restructuring and other costs consist of the following:</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742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4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w:t>
            </w:r>
          </w:p>
        </w:tc>
      </w:tr>
      <w:tr>
        <w:trPr>
          <w:trHeight w:val="21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w:t>
            </w:r>
          </w:p>
        </w:tc>
      </w:tr>
      <w:tr>
        <w:trPr>
          <w:trHeight w:val="23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80" w:hanging="153"/>
        <w:spacing w:after="0"/>
        <w:tabs>
          <w:tab w:leader="none" w:pos="4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Gain on dispositions, including post-closing adjustments.</w:t>
      </w:r>
    </w:p>
    <w:p>
      <w:pPr>
        <w:spacing w:after="0" w:line="9" w:lineRule="exact"/>
        <w:rPr>
          <w:rFonts w:ascii="Times New Roman" w:cs="Times New Roman" w:eastAsia="Times New Roman" w:hAnsi="Times New Roman"/>
          <w:sz w:val="19"/>
          <w:szCs w:val="19"/>
          <w:color w:val="auto"/>
          <w:vertAlign w:val="superscript"/>
        </w:rPr>
      </w:pPr>
    </w:p>
    <w:p>
      <w:pPr>
        <w:jc w:val="both"/>
        <w:ind w:left="320" w:firstLine="7"/>
        <w:spacing w:after="0" w:line="539" w:lineRule="auto"/>
        <w:tabs>
          <w:tab w:leader="none" w:pos="467"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3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w w:val="98"/>
              </w:rPr>
              <w:t>Segment earnings margins:</w:t>
            </w:r>
          </w:p>
        </w:tc>
        <w:tc>
          <w:tcPr>
            <w:tcW w:w="5760" w:type="dxa"/>
            <w:vAlign w:val="bottom"/>
            <w:tcBorders>
              <w:bottom w:val="single" w:sz="8" w:color="CCEEFF"/>
            </w:tcBorders>
            <w:gridSpan w:val="2"/>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7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104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16.9 %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17.3 %</w:t>
            </w:r>
          </w:p>
        </w:tc>
      </w:tr>
      <w:tr>
        <w:trPr>
          <w:trHeight w:val="227"/>
        </w:trPr>
        <w:tc>
          <w:tcPr>
            <w:tcW w:w="2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17.9 %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17.4 %</w:t>
            </w:r>
          </w:p>
        </w:tc>
      </w:tr>
      <w:tr>
        <w:trPr>
          <w:trHeight w:val="227"/>
        </w:trPr>
        <w:tc>
          <w:tcPr>
            <w:tcW w:w="20" w:type="dxa"/>
            <w:vAlign w:val="bottom"/>
          </w:tcPr>
          <w:p>
            <w:pPr>
              <w:spacing w:after="0"/>
              <w:rPr>
                <w:sz w:val="19"/>
                <w:szCs w:val="19"/>
                <w:color w:val="auto"/>
              </w:rPr>
            </w:pPr>
          </w:p>
        </w:tc>
        <w:tc>
          <w:tcPr>
            <w:tcW w:w="7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4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27.1 %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27.7 %</w:t>
            </w:r>
          </w:p>
        </w:tc>
      </w:tr>
      <w:tr>
        <w:trPr>
          <w:trHeight w:val="227"/>
        </w:trPr>
        <w:tc>
          <w:tcPr>
            <w:tcW w:w="2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31.5 %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30.6 %</w:t>
            </w:r>
          </w:p>
        </w:tc>
      </w:tr>
      <w:tr>
        <w:trPr>
          <w:trHeight w:val="227"/>
        </w:trPr>
        <w:tc>
          <w:tcPr>
            <w:tcW w:w="20" w:type="dxa"/>
            <w:vAlign w:val="bottom"/>
          </w:tcPr>
          <w:p>
            <w:pPr>
              <w:spacing w:after="0"/>
              <w:rPr>
                <w:sz w:val="19"/>
                <w:szCs w:val="19"/>
                <w:color w:val="auto"/>
              </w:rPr>
            </w:pPr>
          </w:p>
        </w:tc>
        <w:tc>
          <w:tcPr>
            <w:tcW w:w="7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4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15.6 %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15.0 %</w:t>
            </w:r>
          </w:p>
        </w:tc>
      </w:tr>
      <w:tr>
        <w:trPr>
          <w:trHeight w:val="227"/>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22.2 %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22.0 %</w:t>
            </w:r>
          </w:p>
        </w:tc>
      </w:t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auto"/>
            </w:tcBorders>
            <w:gridSpan w:val="2"/>
            <w:shd w:val="clear" w:color="auto" w:fill="CCEEFF"/>
          </w:tcPr>
          <w:p>
            <w:pPr>
              <w:spacing w:after="0" w:line="187" w:lineRule="exact"/>
              <w:rPr>
                <w:sz w:val="20"/>
                <w:szCs w:val="20"/>
                <w:color w:val="auto"/>
              </w:rPr>
            </w:pPr>
            <w:r>
              <w:rPr>
                <w:rFonts w:ascii="Times New Roman" w:cs="Times New Roman" w:eastAsia="Times New Roman" w:hAnsi="Times New Roman"/>
                <w:sz w:val="18"/>
                <w:szCs w:val="18"/>
                <w:b w:val="1"/>
                <w:bCs w:val="1"/>
                <w:color w:val="auto"/>
                <w:w w:val="98"/>
              </w:rPr>
              <w:t>Depreciation and amortization:</w:t>
            </w:r>
          </w:p>
        </w:tc>
        <w:tc>
          <w:tcPr>
            <w:tcW w:w="5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27"/>
        </w:trPr>
        <w:tc>
          <w:tcPr>
            <w:tcW w:w="7860" w:type="dxa"/>
            <w:vAlign w:val="bottom"/>
            <w:gridSpan w:val="4"/>
          </w:tcPr>
          <w:p>
            <w:pPr>
              <w:ind w:left="20"/>
              <w:spacing w:after="0" w:line="226" w:lineRule="exact"/>
              <w:rPr>
                <w:sz w:val="20"/>
                <w:szCs w:val="20"/>
                <w:color w:val="auto"/>
              </w:rPr>
            </w:pPr>
            <w:r>
              <w:rPr>
                <w:rFonts w:ascii="Times New Roman" w:cs="Times New Roman" w:eastAsia="Times New Roman" w:hAnsi="Times New Roman"/>
                <w:sz w:val="18"/>
                <w:szCs w:val="18"/>
                <w:color w:val="auto"/>
              </w:rPr>
              <w:t>Other depreciation and amortization:</w:t>
            </w:r>
            <w:r>
              <w:rPr>
                <w:rFonts w:ascii="Times New Roman" w:cs="Times New Roman" w:eastAsia="Times New Roman" w:hAnsi="Times New Roman"/>
                <w:sz w:val="23"/>
                <w:szCs w:val="23"/>
                <w:color w:val="auto"/>
                <w:vertAlign w:val="superscript"/>
              </w:rPr>
              <w:t>(7)</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104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4,800</w:t>
            </w:r>
          </w:p>
        </w:tc>
      </w:tr>
      <w:tr>
        <w:trPr>
          <w:trHeight w:val="227"/>
        </w:trPr>
        <w:tc>
          <w:tcPr>
            <w:tcW w:w="20" w:type="dxa"/>
            <w:vAlign w:val="bottom"/>
          </w:tcPr>
          <w:p>
            <w:pPr>
              <w:spacing w:after="0"/>
              <w:rPr>
                <w:sz w:val="19"/>
                <w:szCs w:val="19"/>
                <w:color w:val="auto"/>
              </w:rPr>
            </w:pPr>
          </w:p>
        </w:tc>
        <w:tc>
          <w:tcPr>
            <w:tcW w:w="7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4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8,552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8,578</w:t>
            </w:r>
          </w:p>
        </w:tc>
      </w:tr>
      <w:tr>
        <w:trPr>
          <w:trHeight w:val="227"/>
        </w:trPr>
        <w:tc>
          <w:tcPr>
            <w:tcW w:w="2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4,093</w:t>
            </w:r>
          </w:p>
        </w:tc>
      </w:tr>
      <w:tr>
        <w:trPr>
          <w:trHeight w:val="227"/>
        </w:trPr>
        <w:tc>
          <w:tcPr>
            <w:tcW w:w="20" w:type="dxa"/>
            <w:vAlign w:val="bottom"/>
          </w:tcPr>
          <w:p>
            <w:pPr>
              <w:spacing w:after="0"/>
              <w:rPr>
                <w:sz w:val="19"/>
                <w:szCs w:val="19"/>
                <w:color w:val="auto"/>
              </w:rPr>
            </w:pPr>
          </w:p>
        </w:tc>
        <w:tc>
          <w:tcPr>
            <w:tcW w:w="7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40" w:type="dxa"/>
            <w:vAlign w:val="bottom"/>
          </w:tcPr>
          <w:p>
            <w:pPr>
              <w:spacing w:after="0"/>
              <w:rPr>
                <w:sz w:val="19"/>
                <w:szCs w:val="19"/>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12,601</w:t>
            </w:r>
          </w:p>
        </w:tc>
      </w:tr>
      <w:tr>
        <w:trPr>
          <w:trHeight w:val="227"/>
        </w:trPr>
        <w:tc>
          <w:tcPr>
            <w:tcW w:w="2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7,325</w:t>
            </w:r>
          </w:p>
        </w:tc>
      </w:tr>
      <w:tr>
        <w:trPr>
          <w:trHeight w:val="22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other depreciation and amortization</w:t>
            </w:r>
          </w:p>
        </w:tc>
        <w:tc>
          <w:tcPr>
            <w:tcW w:w="1040" w:type="dxa"/>
            <w:vAlign w:val="bottom"/>
          </w:tcPr>
          <w:p>
            <w:pPr>
              <w:spacing w:after="0"/>
              <w:rPr>
                <w:sz w:val="19"/>
                <w:szCs w:val="19"/>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37,397</w:t>
            </w:r>
          </w:p>
        </w:tc>
      </w:tr>
      <w:tr>
        <w:trPr>
          <w:trHeight w:val="227"/>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1,840</w:t>
            </w:r>
          </w:p>
        </w:tc>
      </w:tr>
      <w:tr>
        <w:trPr>
          <w:trHeight w:val="227"/>
        </w:trPr>
        <w:tc>
          <w:tcPr>
            <w:tcW w:w="78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included in purchase accounting expenses and restructuring and other</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55,166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48,181</w:t>
            </w:r>
          </w:p>
        </w:tc>
      </w:tr>
      <w:tr>
        <w:trPr>
          <w:trHeight w:val="245"/>
        </w:trPr>
        <w:tc>
          <w:tcPr>
            <w:tcW w:w="7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depreciation and amortization total</w:t>
            </w:r>
          </w:p>
        </w:tc>
        <w:tc>
          <w:tcPr>
            <w:tcW w:w="104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97,421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87,418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7"/>
        <w:spacing w:after="0" w:line="223" w:lineRule="auto"/>
        <w:tabs>
          <w:tab w:leader="none" w:pos="174"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depreciation and amortization relates to property, plant, and equipment and intangibles, and excludes amounts related to purchase accounting expenses and restructuring and other costs.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0"/>
        </w:trPr>
        <w:tc>
          <w:tcPr>
            <w:tcW w:w="804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240" w:type="dxa"/>
            <w:vAlign w:val="bottom"/>
          </w:tcPr>
          <w:p>
            <w:pPr>
              <w:spacing w:after="0"/>
              <w:rPr>
                <w:sz w:val="15"/>
                <w:szCs w:val="15"/>
                <w:color w:val="auto"/>
              </w:rPr>
            </w:pPr>
          </w:p>
        </w:tc>
        <w:tc>
          <w:tcPr>
            <w:tcW w:w="1300" w:type="dxa"/>
            <w:vAlign w:val="bottom"/>
          </w:tcPr>
          <w:p>
            <w:pPr>
              <w:jc w:val="right"/>
              <w:ind w:right="491"/>
              <w:spacing w:after="0" w:line="180"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11"/>
              <w:spacing w:after="0" w:line="180"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27"/>
        </w:trPr>
        <w:tc>
          <w:tcPr>
            <w:tcW w:w="20" w:type="dxa"/>
            <w:vAlign w:val="bottom"/>
          </w:tcPr>
          <w:p>
            <w:pPr>
              <w:spacing w:after="0"/>
              <w:rPr>
                <w:sz w:val="19"/>
                <w:szCs w:val="19"/>
                <w:color w:val="auto"/>
              </w:rPr>
            </w:pPr>
          </w:p>
        </w:tc>
        <w:tc>
          <w:tcPr>
            <w:tcW w:w="8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w:t>
            </w:r>
          </w:p>
        </w:tc>
      </w:tr>
      <w:tr>
        <w:trPr>
          <w:trHeight w:val="227"/>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w:t>
            </w:r>
          </w:p>
        </w:tc>
      </w:tr>
      <w:tr>
        <w:trPr>
          <w:trHeight w:val="227"/>
        </w:trPr>
        <w:tc>
          <w:tcPr>
            <w:tcW w:w="20" w:type="dxa"/>
            <w:vAlign w:val="bottom"/>
          </w:tcPr>
          <w:p>
            <w:pPr>
              <w:spacing w:after="0"/>
              <w:rPr>
                <w:sz w:val="19"/>
                <w:szCs w:val="19"/>
                <w:color w:val="auto"/>
              </w:rPr>
            </w:pPr>
          </w:p>
        </w:tc>
        <w:tc>
          <w:tcPr>
            <w:tcW w:w="8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r>
      <w:tr>
        <w:trPr>
          <w:trHeight w:val="227"/>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r>
      <w:tr>
        <w:trPr>
          <w:trHeight w:val="227"/>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45"/>
        </w:trPr>
        <w:tc>
          <w:tcPr>
            <w:tcW w:w="8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Selected financial information by segment (continued):</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3"/>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1,091,594</w:t>
            </w:r>
          </w:p>
        </w:tc>
      </w:tr>
      <w:tr>
        <w:trPr>
          <w:trHeight w:val="227"/>
        </w:trPr>
        <w:tc>
          <w:tcPr>
            <w:tcW w:w="2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3,607,567</w:t>
            </w:r>
          </w:p>
        </w:tc>
      </w:tr>
      <w:tr>
        <w:trPr>
          <w:trHeight w:val="227"/>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1,827,454</w:t>
            </w:r>
          </w:p>
        </w:tc>
      </w:tr>
      <w:tr>
        <w:trPr>
          <w:trHeight w:val="227"/>
        </w:trPr>
        <w:tc>
          <w:tcPr>
            <w:tcW w:w="2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3,479,147</w:t>
            </w:r>
          </w:p>
        </w:tc>
      </w:tr>
      <w:tr>
        <w:trPr>
          <w:trHeight w:val="227"/>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1,426,174</w:t>
            </w:r>
          </w:p>
        </w:tc>
      </w:tr>
      <w:tr>
        <w:trPr>
          <w:trHeight w:val="227"/>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ind w:left="440"/>
              <w:spacing w:after="0" w:line="226"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(8)</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1,975,442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1,990,487</w:t>
            </w:r>
          </w:p>
        </w:tc>
      </w:tr>
      <w:tr>
        <w:trPr>
          <w:trHeight w:val="245"/>
        </w:trPr>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13,506,680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13,422,423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160" w:hanging="153"/>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Corporate assets are comprised primarily of cash and cash equivalents.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the location of the Company's customers: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0"/>
        </w:trPr>
        <w:tc>
          <w:tcPr>
            <w:tcW w:w="802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Revenue by geography:</w:t>
            </w:r>
          </w:p>
        </w:tc>
        <w:tc>
          <w:tcPr>
            <w:tcW w:w="240" w:type="dxa"/>
            <w:vAlign w:val="bottom"/>
          </w:tcPr>
          <w:p>
            <w:pPr>
              <w:spacing w:after="0"/>
              <w:rPr>
                <w:sz w:val="15"/>
                <w:szCs w:val="15"/>
                <w:color w:val="auto"/>
              </w:rPr>
            </w:pPr>
          </w:p>
        </w:tc>
        <w:tc>
          <w:tcPr>
            <w:tcW w:w="1320" w:type="dxa"/>
            <w:vAlign w:val="bottom"/>
          </w:tcPr>
          <w:p>
            <w:pPr>
              <w:jc w:val="right"/>
              <w:ind w:right="511"/>
              <w:spacing w:after="0" w:line="180"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1"/>
              <w:spacing w:after="0" w:line="180"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1,023,117</w:t>
            </w:r>
          </w:p>
        </w:tc>
      </w:tr>
      <w:tr>
        <w:trPr>
          <w:trHeight w:val="227"/>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397,291</w:t>
            </w:r>
          </w:p>
        </w:tc>
      </w:tr>
      <w:tr>
        <w:trPr>
          <w:trHeight w:val="227"/>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208,732</w:t>
            </w:r>
          </w:p>
        </w:tc>
      </w:tr>
      <w:tr>
        <w:trPr>
          <w:trHeight w:val="227"/>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159,896</w:t>
            </w:r>
          </w:p>
        </w:tc>
      </w:tr>
      <w:tr>
        <w:trPr>
          <w:trHeight w:val="227"/>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77,023</w:t>
            </w:r>
          </w:p>
        </w:tc>
      </w:tr>
      <w:tr>
        <w:trPr>
          <w:trHeight w:val="22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2,053,623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1,866,059</w:t>
            </w: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March 31, 2026 and 2025, the U.S. was the largest geographical market for revenue for the Engineered Products, Clean Energy &amp;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Fueling, Pumps &amp; Process Solutions, and Climate &amp; Sustainability Technologies segments, and Europe was the largest market for the Imaging &amp;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segment.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Stockholders' Equity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August 2023, the Company's Board of Directors approved a new standing share repurchase authorization whereby the Company may repurchase up to 20 million shares beginning on January 1, 2024 through December 31, 2026.</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10, 2025, the Company entered into a $500,000 accelerated share repurchase agreement (the "ASR Agreement") with JP Morgan Chase Bank, N.A. ("JP Morgan") to repurchase its shares in an accelerated share repurchase program (the "ASR Program"). The ASR Program is classified as equity, initially recorded at fair value with no subsequent remeasurement. The Company conducted the ASR Program under the current share repurchase authorization. The Company funded the ASR Program with cash on hand.</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terms of the ASR Agreement, the Company paid JP Morgan $500,000 on November 12, 2025, and on that date received initial delivery of 2,334,010 shares, representing a substantial majority of the shares expected to be retired over the course of the ASR Program. The ASR Program completed in April 2026. The impact of the shares that were received at the completion of the ASR Program is anti-dilutive and therefore excluded from the calculation of diluted earnings per share. See Note 20 — Subsequent Events for additional details.</w:t>
      </w: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the three months ended March 31, 2026, exclusive of the ASR Agreement, the Company repurchased 250,000 shares at a total cost of $53,937, or $215.75 per share. In the three months ended March 31, 2025, the Company repurchased 200,000 shares at a total cost of $40,700, or $203.50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14,346,708 shares remain authorized for repurchase under the August 2023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18. Earnings per Share</w:t>
            </w:r>
          </w:p>
        </w:tc>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4"/>
        </w:trPr>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information used in computing basic and diluted earnings per share: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176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239,241</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0" w:type="dxa"/>
            <w:vAlign w:val="bottom"/>
          </w:tcPr>
          <w:p>
            <w:pPr>
              <w:spacing w:after="0"/>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230,821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7"/>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7"/>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134,977,000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137,267,000</w:t>
            </w:r>
          </w:p>
        </w:tc>
        <w:tc>
          <w:tcPr>
            <w:tcW w:w="0" w:type="dxa"/>
            <w:vAlign w:val="bottom"/>
          </w:tcPr>
          <w:p>
            <w:pPr>
              <w:spacing w:after="0"/>
              <w:rPr>
                <w:sz w:val="1"/>
                <w:szCs w:val="1"/>
                <w:color w:val="auto"/>
              </w:rPr>
            </w:pPr>
          </w:p>
        </w:tc>
      </w:tr>
      <w:tr>
        <w:trPr>
          <w:trHeight w:val="227"/>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7"/>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7"/>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7"/>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138,260,000</w:t>
            </w:r>
          </w:p>
        </w:tc>
        <w:tc>
          <w:tcPr>
            <w:tcW w:w="0" w:type="dxa"/>
            <w:vAlign w:val="bottom"/>
          </w:tcPr>
          <w:p>
            <w:pPr>
              <w:spacing w:after="0"/>
              <w:rPr>
                <w:sz w:val="1"/>
                <w:szCs w:val="1"/>
                <w:color w:val="auto"/>
              </w:rPr>
            </w:pPr>
          </w:p>
        </w:tc>
      </w:tr>
      <w:tr>
        <w:trPr>
          <w:trHeight w:val="548"/>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the share amounts used in computing earnings per share: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176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134,977,000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137,267,000</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assumed exercise of SARs and vesting of performance shares and RSUs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993,000</w:t>
            </w:r>
          </w:p>
        </w:tc>
        <w:tc>
          <w:tcPr>
            <w:tcW w:w="0" w:type="dxa"/>
            <w:vAlign w:val="bottom"/>
          </w:tcPr>
          <w:p>
            <w:pPr>
              <w:spacing w:after="0"/>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135,895,000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138,260,000</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number of anti-dilutive potential common shares excluded from the calculation above were approximately 60,000 and 42,000 for the three months ended March 31, 2026 and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19. Recent Accounting Pronouncements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(Subtopic 220-40): Expense Disaggregation Disclosures, which expands disclosures of specific expense categories at interim and annual reporting periods. The amendments are effective for fiscal years beginning after December 15, 2026, and interim periods within fiscal years beginning after December 15, 2027. Early adoption is permitted. The Company is currently evaluating this ASU to determine its impact on the Company’s disclosures.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the disclosures required in an entity’s income tax rate reconciliation table and requires disclosure of income taxes paid both in U.S. and foreign jurisdictions. The amendments are effective for fiscal years beginning after December 15, 2024. The Company adopted the guidance during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which provides entities the option of a practical expedient in the estimation of credit losses. The amendments are effective for fiscal years beginning after December 15, 2025, and interim periods within those annual reporting periods. Early adoption is permitted. The Company adopted the guidance as of January 1, 2026. The adoption did not have a material impact on the Company's condensed consolidated financial statements. See Note 7 — Credit Losses for further details.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which changes the requirements for when entities may begin capitalizing costs for internal-use software. The amendments are effective for fiscal years beginning after December 15, 2027, and interim reporting periods within those annual reporting periods. Early adoption is permitted as of the beginning of an annual reporting period. The Company adopted the guidance on January 1, 2026. The adoption did not have a material impact on the Company's condensed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 Subsequent Events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April 2026, JP Morgan delivered 153,652 additional shares which completed the ASR Program. Over the course of the ASR Program, the Company received a total of 2,487,662 shares. The total number of shares ultimately repurchased under the ASR Agreement was based on the average of the daily volume-weighted average share price of Dover's common stock during the calculation period of the ASR Program, less a discount, which was $200.99.</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 2026, the Company entered into a new $1.5 billion five-year unsecured revolving credit facility with a syndicate of banks on substantially similar terms as the existing Credit Agreements. The $1.0 billion five-year unsecured revolving credit facility was terminated upon execution of the new credit facility and the $500.0 million 364-day unsecured revolving credit facility expired on the same day. The lenders' commitments under the new five-year credit agreement will terminate, and the loans under that credit agreement will mature, on April 2, 2031. As of April 23, 2026, there are no outstanding loans under the new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Refer to the section below entitled "Special Note Regarding Forward-Looking Statements" for a discussion of factors that could cause our actual results to differ from the forward-looking statements contained below and throughout this quarterly report.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Dover's five operating segments are as follows:</w:t>
      </w:r>
    </w:p>
    <w:p>
      <w:pPr>
        <w:spacing w:after="0" w:line="247" w:lineRule="exact"/>
        <w:rPr>
          <w:sz w:val="20"/>
          <w:szCs w:val="20"/>
          <w:color w:val="auto"/>
        </w:rPr>
      </w:pPr>
    </w:p>
    <w:p>
      <w:pPr>
        <w:ind w:left="640" w:hanging="313"/>
        <w:spacing w:after="0" w:line="27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precision soldering and fluid dispensing end-markets.</w:t>
      </w:r>
    </w:p>
    <w:p>
      <w:pPr>
        <w:spacing w:after="0" w:line="189"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7"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12"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first quarter of 2026, revenue was $2.1 billion, which increased $187.6 million, or 10.1%, as compared to the first quarter of 2025. This increase was driven by organic revenue growth of 5.3%, a favorable impact from foreign currency translation of 2.9% and acquisition-related revenue growth of 1.9%. Revenue growth was primarily driven by continued demand strength in our secular-growth-exposed end markets and pricing actions. The acquisition-related growth was primarily driven by our acquisitions in the Pumps &amp; Process Solutions segment.</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5.3% organic revenue growth for the first quarter of 2026 was driven by our Climate &amp; Sustainability Technologies, Clean Energy &amp; Fueling, and Engineered Products segments which grew 15.2%, 11.1%, and 2.1%, respectively. The growth was partially offset by the Imaging &amp; Identification and Pumps &amp; Process Solutions segments which declined 3.3% and 0.8%, respectively. For further information, see "Segment Results of Operations" within this Item 2.</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a geographic perspective, organic revenue for the U.S., our largest market, increased 12.1% in the first quarter of 2026 compared to the prior year comparable quarter, primarily driven by an increase in organic revenue in the Clean Energy &amp; Fueling, Climate &amp; Sustainability Technologies and Pumps &amp; Process Solutions segments. Organic revenue increased for the Other Americas by 3.0% and decreased for Asia, Europe, and all other geographic markets by 4.7%, 4.2%, and 3.3%, respectively.</w:t>
      </w: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Bookings were $2.5 billion for the three months ended March 31, 2026, an increase of $474.1 million or 23.8% compared to the prior year comparable quarter. Bookings increased across all segments and most notably in the Climate &amp; Sustainability Technologies segment.</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Restructuring and other costs for the three months ended March 31, 2026 were $36.8 million, which included restructuring charges of $30.2 million and other costs of $6.6 million. Restructuring and other costs were primarily related to headcount reductions and exit costs in the Pumps &amp; Process Solutions, Climate</w:t>
      </w:r>
    </w:p>
    <w:p>
      <w:pPr>
        <w:spacing w:after="0" w:line="1" w:lineRule="exact"/>
        <w:rPr>
          <w:sz w:val="20"/>
          <w:szCs w:val="20"/>
          <w:color w:val="auto"/>
        </w:rPr>
      </w:pPr>
    </w:p>
    <w:p>
      <w:pPr>
        <w:ind w:firstLine="7"/>
        <w:spacing w:after="0" w:line="255" w:lineRule="auto"/>
        <w:tabs>
          <w:tab w:leader="none" w:pos="1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 Technologies and Clean Energy &amp; Fueling segments. For further discussion related to our restructuring and other costs, see "Restructuring and Other Costs (Benefits)," within this Item 2.</w:t>
      </w:r>
    </w:p>
    <w:p>
      <w:pPr>
        <w:spacing w:after="0" w:line="20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In the three months ended March 31, 2026, the Company repurchased 250,000 shares at a total cost of $53.9 million, or $215.75 per share. As of March 31, 2026, 14,346,708 shares remain authorized for repurchase under the August 2023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780" w:type="dxa"/>
            <w:vAlign w:val="bottom"/>
            <w:tcBorders>
              <w:top w:val="single" w:sz="8" w:color="auto"/>
            </w:tcBorders>
          </w:tcPr>
          <w:p>
            <w:pPr>
              <w:spacing w:after="0"/>
              <w:rPr>
                <w:sz w:val="23"/>
                <w:szCs w:val="23"/>
                <w:color w:val="auto"/>
              </w:rPr>
            </w:pPr>
          </w:p>
        </w:tc>
        <w:tc>
          <w:tcPr>
            <w:tcW w:w="3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980" w:type="dxa"/>
            <w:vAlign w:val="bottom"/>
            <w:tcBorders>
              <w:bottom w:val="single" w:sz="8" w:color="auto"/>
            </w:tcBorders>
            <w:gridSpan w:val="6"/>
          </w:tcPr>
          <w:p>
            <w:pPr>
              <w:jc w:val="right"/>
              <w:ind w:right="83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167"/>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figures)</w:t>
            </w:r>
          </w:p>
        </w:tc>
        <w:tc>
          <w:tcPr>
            <w:tcW w:w="280" w:type="dxa"/>
            <w:vAlign w:val="bottom"/>
          </w:tcPr>
          <w:p>
            <w:pPr>
              <w:spacing w:after="0"/>
              <w:rPr>
                <w:sz w:val="14"/>
                <w:szCs w:val="14"/>
                <w:color w:val="auto"/>
              </w:rPr>
            </w:pPr>
          </w:p>
        </w:tc>
        <w:tc>
          <w:tcPr>
            <w:tcW w:w="112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4"/>
                <w:szCs w:val="14"/>
                <w:color w:val="auto"/>
              </w:rPr>
            </w:pPr>
          </w:p>
        </w:tc>
        <w:tc>
          <w:tcPr>
            <w:tcW w:w="1220" w:type="dxa"/>
            <w:vAlign w:val="bottom"/>
          </w:tcPr>
          <w:p>
            <w:pPr>
              <w:jc w:val="right"/>
              <w:ind w:right="171"/>
              <w:spacing w:after="0" w:line="167"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0"/>
        </w:trPr>
        <w:tc>
          <w:tcPr>
            <w:tcW w:w="6980" w:type="dxa"/>
            <w:vAlign w:val="bottom"/>
            <w:tcBorders>
              <w:bottom w:val="single" w:sz="8" w:color="auto"/>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2,053,623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1,866,059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7"/>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1,255,488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1,120,559</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798,135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745,500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7"/>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40.0 %</w:t>
            </w:r>
          </w:p>
        </w:tc>
        <w:tc>
          <w:tcPr>
            <w:tcW w:w="13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i w:val="1"/>
                <w:iCs w:val="1"/>
                <w:color w:val="auto"/>
              </w:rPr>
              <w:t>(1.1)</w:t>
            </w:r>
          </w:p>
        </w:tc>
        <w:tc>
          <w:tcPr>
            <w:tcW w:w="0" w:type="dxa"/>
            <w:vAlign w:val="bottom"/>
          </w:tcPr>
          <w:p>
            <w:pPr>
              <w:spacing w:after="0"/>
              <w:rPr>
                <w:sz w:val="1"/>
                <w:szCs w:val="1"/>
                <w:color w:val="auto"/>
              </w:rPr>
            </w:pPr>
          </w:p>
        </w:tc>
      </w:tr>
      <w:tr>
        <w:trPr>
          <w:trHeight w:val="22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492,226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449,191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7"/>
        </w:trPr>
        <w:tc>
          <w:tcPr>
            <w:tcW w:w="6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as a percent of revenue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24.0 %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24.1 %</w:t>
            </w:r>
          </w:p>
        </w:tc>
        <w:tc>
          <w:tcPr>
            <w:tcW w:w="1340" w:type="dxa"/>
            <w:vAlign w:val="bottom"/>
            <w:tcBorders>
              <w:bottom w:val="single" w:sz="8" w:color="CCEEFF"/>
            </w:tcBorders>
            <w:gridSpan w:val="2"/>
          </w:tcPr>
          <w:p>
            <w:pPr>
              <w:jc w:val="right"/>
              <w:ind w:right="91"/>
              <w:spacing w:after="0"/>
              <w:rPr>
                <w:sz w:val="20"/>
                <w:szCs w:val="20"/>
                <w:color w:val="auto"/>
              </w:rPr>
            </w:pPr>
            <w:r>
              <w:rPr>
                <w:rFonts w:ascii="Times New Roman" w:cs="Times New Roman" w:eastAsia="Times New Roman" w:hAnsi="Times New Roman"/>
                <w:sz w:val="18"/>
                <w:szCs w:val="18"/>
                <w:i w:val="1"/>
                <w:iCs w:val="1"/>
                <w:color w:val="auto"/>
              </w:rPr>
              <w:t>(0.1)</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305,909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296,309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7"/>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29,522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27,608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(14,060)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(20,254)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7"/>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2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(8,455)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(3,958)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298,902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295,381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56,140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7"/>
        </w:trPr>
        <w:tc>
          <w:tcPr>
            <w:tcW w:w="6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20.1 %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19.0 %</w:t>
            </w:r>
          </w:p>
        </w:tc>
        <w:tc>
          <w:tcPr>
            <w:tcW w:w="1340" w:type="dxa"/>
            <w:vAlign w:val="bottom"/>
            <w:tcBorders>
              <w:bottom w:val="single" w:sz="8" w:color="CCEEFF"/>
            </w:tcBorders>
            <w:gridSpan w:val="2"/>
          </w:tcPr>
          <w:p>
            <w:pPr>
              <w:jc w:val="right"/>
              <w:ind w:right="131"/>
              <w:spacing w:after="0"/>
              <w:rPr>
                <w:sz w:val="20"/>
                <w:szCs w:val="20"/>
                <w:color w:val="auto"/>
              </w:rPr>
            </w:pPr>
            <w:r>
              <w:rPr>
                <w:rFonts w:ascii="Times New Roman" w:cs="Times New Roman" w:eastAsia="Times New Roman" w:hAnsi="Times New Roman"/>
                <w:sz w:val="18"/>
                <w:szCs w:val="18"/>
                <w:i w:val="1"/>
                <w:iCs w:val="1"/>
                <w:color w:val="auto"/>
              </w:rPr>
              <w:t>1.1</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238,749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239,241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(8,420)</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8"/>
        </w:trPr>
        <w:tc>
          <w:tcPr>
            <w:tcW w:w="6980" w:type="dxa"/>
            <w:vAlign w:val="bottom"/>
            <w:tcBorders>
              <w:bottom w:val="single" w:sz="8" w:color="CCEEFF"/>
            </w:tcBorders>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shd w:val="clear" w:color="auto" w:fill="CCEEFF"/>
          </w:tcPr>
          <w:p>
            <w:pPr>
              <w:jc w:val="right"/>
              <w:ind w:right="9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238,433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230,821</w:t>
            </w:r>
          </w:p>
        </w:tc>
        <w:tc>
          <w:tcPr>
            <w:tcW w:w="134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from continuing operations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line="20" w:lineRule="exact"/>
              <w:rPr>
                <w:sz w:val="1"/>
                <w:szCs w:val="1"/>
                <w:color w:val="auto"/>
              </w:rPr>
            </w:pPr>
          </w:p>
        </w:tc>
      </w:tr>
      <w:tr>
        <w:trPr>
          <w:trHeight w:val="206"/>
        </w:trPr>
        <w:tc>
          <w:tcPr>
            <w:tcW w:w="6980" w:type="dxa"/>
            <w:vAlign w:val="bottom"/>
            <w:gridSpan w:val="2"/>
            <w:vMerge w:val="continue"/>
          </w:tcPr>
          <w:p>
            <w:pPr>
              <w:spacing w:after="0"/>
              <w:rPr>
                <w:sz w:val="17"/>
                <w:szCs w:val="17"/>
                <w:color w:val="auto"/>
              </w:rPr>
            </w:pPr>
          </w:p>
        </w:tc>
        <w:tc>
          <w:tcPr>
            <w:tcW w:w="280" w:type="dxa"/>
            <w:vAlign w:val="bottom"/>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7"/>
                <w:szCs w:val="17"/>
                <w:color w:val="auto"/>
              </w:rPr>
            </w:pPr>
          </w:p>
        </w:tc>
        <w:tc>
          <w:tcPr>
            <w:tcW w:w="280" w:type="dxa"/>
            <w:vAlign w:val="bottom"/>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1.73</w:t>
            </w: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nm - not meaningful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Revenue for the three months ended March 31, 2026 increased $187.6 million, or 10.1%, from the prior year comparable quarter. The increase in revenue was driven by organic revenue growth of 5.3%, primarily in our Climate &amp; Sustainability Technologies, Clean Energy &amp; Fueling and Engineered Products segments, a favorable impact from foreign currency translation of 2.9% and acquisition-related growth of 1.9%. Customer pricing favorably impacted revenue by approximately 1.8% in the first quarter of 2026 and by 1.3% in the prior year comparable quarter.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Gross profit for the three months ended March 31, 2026 increased $52.6 million, or 7.1%, and gross profit margin decreased 110 basis points to 38.9%, versus the prior year comparable quarter. The gross profit margin decrease was primarily due to an unfavorable portfolio mix, partially offset by by productivity initiatives and benefits from restructuring 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increased $43.0 million, or 9.6%, from the prior year comparable quarter, primarily due to increases in employee compensation and benefits and acquisition-related amortization expense. As a percentage of revenue, selling, general and administrative expenses decreased 10 basis points as compared to the prior year comparable quarter to 24.0%.</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$39.6 million and $37.5 million for the three months ended March 31, 2026 and 2025, respectively. The costs as a percentage of revenue were 1.9% and 2.0%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Items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4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For the three months ended March 31, 2026, interest expense, net of interest income, increased $8.1 million, or 110.3%, to $15.5 million compared to the prior year comparable quarter. The increase was primarily due to lower interest income from highly liquid short-term investments and higher interest expense incurred from the issuance of the €550.0 million 3.50% euro-denominated notes in the fourth quarter of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2026 and 2025 were 20.1% and 19.0%, respectively. The increase in the effective tax rate for the three months ended March 31, 2026 relative to the prior year comparable quarter was primarily due to a prior year reorganization.</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July 4, 2025, the One Big Beautiful Bill was enacted into law, introducing changes to the U.S. tax code, including making permanent certain provisions originally enacted under the Tax Cuts and Jobs Act, such as 100% bonus depreciation and the immediate expensing of domestic research and development costs. The changes do not have a material impact to our condensed consolidated financial statements.</w:t>
      </w:r>
    </w:p>
    <w:p>
      <w:pPr>
        <w:spacing w:after="0" w:line="20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Company is continuing to monitor the changes in tax laws resulting from the Organization for Economic Cooperation and Development’s multi-jurisdictional plan of action to address base erosion and profit shifting. We do not expect this to have a material impact on our effective tax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Continuing Operations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Earnings from continuing operations for the three months ended March 31, 2026 remained flat at $238.7 million, or $1.76 diluted earnings per share from continuing operations, compared to $239.2 million, or $1.73 diluted earnings per share from continuing operations in the prior year comparable quarter. The increases in employee compensation and benefits expense, acquisition-related amortization expense, and interest expense, net were offset by the increase in gross profit primarily driven by strong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report organic revenue growth (a non-GAAP measure) which excludes the impact of foreign currency exchange rates and the impact of acquisitions and divestitures. We believe that reporting organic revenue growth provides a useful comparison of our revenue performance and trends between periods. See "Non-GAAP Disclosures" at the end of this Item 2.</w:t>
      </w:r>
    </w:p>
    <w:p>
      <w:pPr>
        <w:spacing w:after="0" w:line="20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89" w:lineRule="exact"/>
        <w:rPr>
          <w:sz w:val="20"/>
          <w:szCs w:val="20"/>
          <w:color w:val="auto"/>
        </w:rPr>
      </w:pPr>
    </w:p>
    <w:p>
      <w:pPr>
        <w:ind w:left="640" w:hanging="313"/>
        <w:spacing w:after="0" w:line="277"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Bookings represent total orders received from customers in the current reporting period and exclude de-bookings related to orders received in prior periods, if any. This metric is an important measure of performance and an indicator of order trends.</w:t>
      </w:r>
    </w:p>
    <w:p>
      <w:pPr>
        <w:spacing w:after="0" w:line="189"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Products</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precision soldering and fluid dispensing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266,639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44,991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7"/>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294,009</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264,538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13"/>
        </w:trPr>
        <w:tc>
          <w:tcPr>
            <w:tcW w:w="7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7"/>
        </w:trPr>
        <w:tc>
          <w:tcPr>
            <w:tcW w:w="7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5"/>
        </w:trPr>
        <w:tc>
          <w:tcPr>
            <w:tcW w:w="7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Compared to the First Quarter 2025</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Engineered Products revenue for the first quarter of 2026 increased $12.0 million, or 4.7%, as compared to the first quarter of 2025, driven by a favorable impact from foreign currency translation of 2.6% and organic growth of 2.1%. Customer pricing favorably impacted revenue by approximately 2.1% in the first quarter of 2026 and 1.3% in the prior year comparable quarter.</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organic revenue growth was primarily driven by pricing actions and solid demand trends across end markets. The growth outlook is favorable for the remainder of the year as we expect improvement in vehicle service business demand and constructive demand conditions across key end markets, most notably in aerospace and defense.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Engineered Products segment earnings increased $0.9 million, or 2.0%, compared to the first quarter of 2025. The increase was primarily driven by pricing actions, productivity initiatives and carry-over benefits from restructuring actions taken in 2025, partially offset by inflationary impacts and unfavorable mix. Segment earnings margin decreased to 16.9% from 17.3% as compared to the prior year comparable quarter.</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Overall bookings increased 11.1% as compared to the prior year comparable quarter. The bookings increase was driven by strength in our aerospace and defense business and winch and hoist demand. Segment book-to-bill was 1.10.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 Energy &amp; Fueling</w:t>
      </w:r>
    </w:p>
    <w:p>
      <w:pPr>
        <w:spacing w:after="0" w:line="25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7"/>
          <w:szCs w:val="17"/>
          <w:color w:val="auto"/>
        </w:rPr>
        <w:t>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615,197</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543,859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13"/>
        </w:trPr>
        <w:tc>
          <w:tcPr>
            <w:tcW w:w="7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27"/>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0"/>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0"/>
        </w:trPr>
        <w:tc>
          <w:tcPr>
            <w:tcW w:w="7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Compared to the First Quarter 2025</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Clean Energy &amp; Fueling revenue for the first quarter of 2026 increased $63.7 million, or 13.0%, as compared to the first quarter of 2025, driven by organic growth of 11.1%, a favorable foreign currency translation impact of 1.8% and acquisition-related growth of 0.1%. Acquisition-related growth was primarily driven by the acquisition of Site IQ, LLC in the third quarter of 2025. Customer pricing favorably impacted revenue in the first quarter of 2026 by approximately 2.1% and by 1.4% in the prior year comparable quarter.</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organic revenue growth was primarily driven by pricing actions and favorable demand trends in our above and below-ground retail fueling, fluid transport, and clean energy components businesses. We expect positive demand trends to continue in the rest of year driven by a favorable demand outlook across major end markets.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Clean Energy &amp; Fueling segment earnings increased $13.4 million, or 15.6%, over the prior year comparable quarter. The increase was primarily driven by higher volumes, benefits from restructuring actions, and favorable pricing offsetting cost headwinds. Segment earnings margin increased to 17.9% from 17.4% as compared to prior year comparable quarter.</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Overall bookings increased 13.1% as compared to the prior year comparable quarter. The bookings increase was primarily driven by demand in clean energy components and North America above and below-ground retail fueling equipment. Segment book-to-bill was 1.11.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Imaging &amp; Identification</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312,646</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13"/>
        </w:trPr>
        <w:tc>
          <w:tcPr>
            <w:tcW w:w="7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Organic decline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7"/>
        </w:trPr>
        <w:tc>
          <w:tcPr>
            <w:tcW w:w="7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5"/>
        </w:trPr>
        <w:tc>
          <w:tcPr>
            <w:tcW w:w="7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Compared to the First Quarter 2025</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Imaging &amp; Identification revenue for the first quarter of 2026 increased $5.3 million, or 1.9%, as compared to the first quarter of 2025, driven by a favorable impact from foreign currency translation of 5.2%, partially offset by an organic revenue decline of 3.3%. Customer pricing favorably impacted revenue in the first quarter of 2026 by approximately 1.2% and by approximately 2.3% in the prior year comparable quarter.</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organic revenue decline was primarily due to shipment timing for marking and coding equipment, partially offset by pricing actions. We expect organic revenue growth to inflect positively as we move through the year driven by pricing and constructive demand trends across the segment.</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Imaging &amp; Identification segment earnings decreased $0.1 million, or 0.2%, over the prior year comparable quarter. The decrease was primarily due to lower volumes, mostly offset by favorable pricing actions and productivity initiatives. Segment earnings margin decreased to 27.1% from 27.7% in the prior year comparable quarter.</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Overall bookings increased 8.5% as compared to the prior year comparable quarter. The bookings increase was primarily driven by order strength in our core marking and coding business. Segment book-to-bill was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Pumps &amp; Process Solutions</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597,578</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499,287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13"/>
        </w:trPr>
        <w:tc>
          <w:tcPr>
            <w:tcW w:w="7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Organic decline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0"/>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0"/>
        </w:trPr>
        <w:tc>
          <w:tcPr>
            <w:tcW w:w="7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Compared to the First Quarter 2025</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Pumps &amp; Process Solutions revenue for the first quarter of 2026 increased $44.2 million, or 9.0%, as compared to the first quarter of 2025, driven by acquisition-related growth of 7.0% and a favorable impact from foreign currency translation of 2.8%, partially offset by an organic revenue decline of 0.8%. Acquisition-related growth was driven by the acquisitions of Sikora AG and ipp Pump Products GmbH in the second quarter of 2025. Customer pricing favorably impacted revenue in the first quarter of 2026 by approximately 1.6% and by approximately 1.3% in the prior year comparable quarter.</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organic revenue decline was primarily due to anticipated revenue declines in our plastics and polymer processing solutions business as customers continue to focus on optimizing the significant capacity investments made over the last several years, partially offset by robust demand for single-use biopharma components and precision components for midstream natural gas compression and power generation. We expect organic growth to trend positively as we move through the year.</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Pumps &amp; Process Solutions segment earnings increased $18.2 million, or 12.0%, over the prior year comparable quarter. The increase was driven by favorable price vs. cost dynamics, favorable portfolio mix and the impact from acquisitions, partially offset by lower polymer processing volumes. Segment earnings margin increased to 31.5% from 30.6% in the prior year comparable quarter.</w:t>
      </w:r>
    </w:p>
    <w:p>
      <w:pPr>
        <w:spacing w:after="0" w:line="20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Overall bookings increased 19.7% as compared to the prior year comparable quarter. The bookings increase was primarily driven by positive demand trends in biopharmaceutical and power generation end markets, as well as the favorable impact from acquisitions. Segment book-to-bill was 1.11.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&amp; Sustainability Technologies</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347,888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7"/>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646,960</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395,623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r>
      <w:tr>
        <w:trPr>
          <w:trHeight w:val="213"/>
        </w:trPr>
        <w:tc>
          <w:tcPr>
            <w:tcW w:w="7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27"/>
        </w:trPr>
        <w:tc>
          <w:tcPr>
            <w:tcW w:w="7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5"/>
        </w:trPr>
        <w:tc>
          <w:tcPr>
            <w:tcW w:w="7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Compared to the First Quarter 2025</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Climate &amp; Sustainability Technologies revenue increased $63.2 million, or 18.2%, as compared to the first quarter of 2025, driven by an organic revenue growth of 15.2% and a favorable impact from foreign currency translation of 3.0%. Customer pricing favorably impacted revenue in the first quarter of 2026 by approximately 2.0% and by approximately 0.2% in the prior year comparable quarter.</w:t>
      </w:r>
    </w:p>
    <w:p>
      <w:pPr>
        <w:spacing w:after="0" w:line="1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organic revenue growth was primarily driven by continued strong demand in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and recovery in refrigerated door case volumes, as well as accelerating demand for heat exchangers used in data center cooling and other applications. We expect organic growth trends to remain constructive as we progress throughout the year.</w:t>
      </w:r>
    </w:p>
    <w:p>
      <w:pPr>
        <w:spacing w:after="0" w:line="2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Climate &amp; Sustainability Technologies segment earnings increased $11.9 million, or 22.8%, over the prior year comparable quarter. The increase in segment earnings was primarily driven by the favorable impact from higher volumes, productivity initiatives and the favorable mix impact from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growth in retail refrigeration. Segment earnings margin increased to 15.6% from 15.0% in the prior year comparable quarter.</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Bookings in the first quarter of 2026 increased 63.5% from the prior year comparable quarter. The bookings increase was primarily driven by demand strength in retail refrigeration and heat exchanger demand trends, including longer lead-time orders. Segment book-to-bill was 1.57.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to Earnings from Continuing Operations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77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44,114</w:t>
            </w:r>
          </w:p>
        </w:tc>
      </w:tr>
      <w:tr>
        <w:trPr>
          <w:trHeight w:val="227"/>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85,644</w:t>
            </w:r>
          </w:p>
        </w:tc>
      </w:tr>
      <w:tr>
        <w:trPr>
          <w:trHeight w:val="227"/>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77,575</w:t>
            </w:r>
          </w:p>
        </w:tc>
      </w:tr>
      <w:tr>
        <w:trPr>
          <w:trHeight w:val="227"/>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151,275</w:t>
            </w:r>
          </w:p>
        </w:tc>
      </w:tr>
      <w:tr>
        <w:trPr>
          <w:trHeight w:val="227"/>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52,119</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410,727</w:t>
            </w:r>
          </w:p>
        </w:tc>
      </w:tr>
      <w:tr>
        <w:trPr>
          <w:trHeight w:val="227"/>
        </w:trPr>
        <w:tc>
          <w:tcPr>
            <w:tcW w:w="77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49,104</w:t>
            </w:r>
          </w:p>
        </w:tc>
      </w:tr>
      <w:tr>
        <w:trPr>
          <w:trHeight w:val="227"/>
        </w:trPr>
        <w:tc>
          <w:tcPr>
            <w:tcW w:w="772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w:t>
            </w:r>
          </w:p>
        </w:tc>
      </w:tr>
      <w:tr>
        <w:trPr>
          <w:trHeight w:val="227"/>
        </w:trPr>
        <w:tc>
          <w:tcPr>
            <w:tcW w:w="77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27"/>
        </w:trPr>
        <w:tc>
          <w:tcPr>
            <w:tcW w:w="772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51,959</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w:t>
            </w:r>
          </w:p>
        </w:tc>
      </w:tr>
      <w:tr>
        <w:trPr>
          <w:trHeight w:val="227"/>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(20,254)</w:t>
            </w:r>
          </w:p>
        </w:tc>
      </w:tr>
      <w:tr>
        <w:trPr>
          <w:trHeight w:val="22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295,381</w:t>
            </w:r>
          </w:p>
        </w:tc>
      </w:tr>
      <w:tr>
        <w:trPr>
          <w:trHeight w:val="227"/>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56,140</w:t>
            </w:r>
          </w:p>
        </w:tc>
      </w:tr>
      <w:tr>
        <w:trPr>
          <w:trHeight w:val="24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239,241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60" w:hanging="153"/>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Purchase accounting expenses are primarily comprised of amortization of acquired intangible assets.</w:t>
      </w:r>
    </w:p>
    <w:p>
      <w:pPr>
        <w:ind w:left="160" w:hanging="153"/>
        <w:spacing w:after="0" w:line="205"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Restructuring and other costs relate to actions taken for headcount reductions, facility consolidations and site closures, product line exits, and other asset charges.</w:t>
      </w:r>
    </w:p>
    <w:p>
      <w:pPr>
        <w:ind w:left="160" w:hanging="153"/>
        <w:spacing w:after="0" w:line="209"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Gain on dispositions, including post-closing adjustments.</w:t>
      </w:r>
    </w:p>
    <w:p>
      <w:pPr>
        <w:spacing w:after="0" w:line="9" w:lineRule="exact"/>
        <w:rPr>
          <w:rFonts w:ascii="Times New Roman" w:cs="Times New Roman" w:eastAsia="Times New Roman" w:hAnsi="Times New Roman"/>
          <w:sz w:val="19"/>
          <w:szCs w:val="19"/>
          <w:color w:val="auto"/>
          <w:vertAlign w:val="superscript"/>
        </w:rPr>
      </w:pPr>
    </w:p>
    <w:p>
      <w:pPr>
        <w:jc w:val="both"/>
        <w:ind w:firstLine="7"/>
        <w:spacing w:after="0" w:line="241" w:lineRule="auto"/>
        <w:tabs>
          <w:tab w:leader="none" w:pos="166"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 (Benefits)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Restructuring and other costs are not presented in our segment earnings because these costs are excluded from the segment operating performance measure reviewed by management. During the three months ended March 31, 2026, we incurred restructuring charges of $30.2 million and other costs, net of $6.6 million. Restructuring charges for the three months ended March 31, 2026 were primarily related to headcount reductions and exit costs in the Pumps &amp; Process Solutions, Climate &amp; Sustainability Technologies and Clean Energy &amp; Fueling segments. These restructuring programs were initiated in 2025 and 2026 and the Company will continue to make proactive adjustments to its cost structure to align with current demand trends. Other costs, net of $6.6 million for the three months ended March 31, 2026 include $3.0 million in costs associated with a footprint reduction in our Climate &amp; Sustainability Technologies segment. These restructuring and other charges were recorded in cost of goods and services and selling, general and administrative expenses in the condensed consolidated statements of earnings. Additional programs beyond the scope of the announced programs may be implemented during 2026 with related restructuring and other cost charges.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months ended March 31, 2026: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2026</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6"/>
              </w:rPr>
              <w:t>Process</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3"/>
                <w:szCs w:val="13"/>
                <w:color w:val="auto"/>
              </w:rPr>
            </w:pPr>
          </w:p>
        </w:tc>
        <w:tc>
          <w:tcPr>
            <w:tcW w:w="860" w:type="dxa"/>
            <w:vAlign w:val="bottom"/>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&amp; Fueling</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0" w:type="dxa"/>
            <w:vAlign w:val="bottom"/>
          </w:tcPr>
          <w:p>
            <w:pPr>
              <w:spacing w:after="0"/>
              <w:rPr>
                <w:sz w:val="1"/>
                <w:szCs w:val="1"/>
                <w:color w:val="auto"/>
              </w:rPr>
            </w:pPr>
          </w:p>
        </w:tc>
      </w:tr>
      <w:tr>
        <w:trPr>
          <w:trHeight w:val="211"/>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0" w:type="dxa"/>
            <w:vAlign w:val="bottom"/>
          </w:tcPr>
          <w:p>
            <w:pPr>
              <w:spacing w:after="0"/>
              <w:rPr>
                <w:sz w:val="1"/>
                <w:szCs w:val="1"/>
                <w:color w:val="auto"/>
              </w:rPr>
            </w:pPr>
          </w:p>
        </w:tc>
      </w:tr>
      <w:tr>
        <w:trPr>
          <w:trHeight w:val="234"/>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Restructuring and other costs for the three months ended March 31, 2025 include restructuring charges of $8.3 million and other costs, net of $1.1 million. Restructuring charges for the three months ended March 31, 2025 were primarily related to headcount reductions and exit costs across the segments. These restructuring programs were initiated in 2024 and 2025. These restructuring and other charges were recorded in cost of goods and services and selling, general and administrative expenses in the condensed consolidated statement of earnings.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months ended March 31, 2025: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2025</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6"/>
              </w:rPr>
              <w:t>Process</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14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3"/>
                <w:szCs w:val="13"/>
                <w:color w:val="auto"/>
              </w:rPr>
            </w:pPr>
          </w:p>
        </w:tc>
        <w:tc>
          <w:tcPr>
            <w:tcW w:w="860" w:type="dxa"/>
            <w:vAlign w:val="bottom"/>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w:t>
            </w:r>
          </w:p>
        </w:tc>
        <w:tc>
          <w:tcPr>
            <w:tcW w:w="0" w:type="dxa"/>
            <w:vAlign w:val="bottom"/>
          </w:tcPr>
          <w:p>
            <w:pPr>
              <w:spacing w:after="0"/>
              <w:rPr>
                <w:sz w:val="1"/>
                <w:szCs w:val="1"/>
                <w:color w:val="auto"/>
              </w:rPr>
            </w:pPr>
          </w:p>
        </w:tc>
      </w:tr>
      <w:tr>
        <w:trPr>
          <w:trHeight w:val="211"/>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Expenses</w:t>
      </w: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accounting expenses primarily relate to amortization of acquired intangible assets. These expenses are not presented in our segment earnings because they are excluded from the segment operating performance measure reviewed by management. These expenses reconcile to segment earnings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Accounting Expenses</w:t>
            </w:r>
          </w:p>
        </w:tc>
        <w:tc>
          <w:tcPr>
            <w:tcW w:w="3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Engineered Products</w:t>
            </w:r>
          </w:p>
        </w:tc>
        <w:tc>
          <w:tcPr>
            <w:tcW w:w="37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0" w:type="dxa"/>
            <w:vAlign w:val="bottom"/>
          </w:tcPr>
          <w:p>
            <w:pPr>
              <w:spacing w:after="0"/>
              <w:rPr>
                <w:sz w:val="1"/>
                <w:szCs w:val="1"/>
                <w:color w:val="auto"/>
              </w:rPr>
            </w:pPr>
          </w:p>
        </w:tc>
      </w:tr>
      <w:tr>
        <w:trPr>
          <w:trHeight w:val="227"/>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1936"/>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3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3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upcoming debt maturities and for reinvestment in existing businesses and strategic acquisitions.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derived from our condensed consolidated statements of cash flows: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3"/>
        </w:trPr>
        <w:tc>
          <w:tcPr>
            <w:tcW w:w="7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from Operations </w:t>
            </w:r>
            <w:r>
              <w:rPr>
                <w:rFonts w:ascii="Times New Roman" w:cs="Times New Roman" w:eastAsia="Times New Roman" w:hAnsi="Times New Roman"/>
                <w:sz w:val="18"/>
                <w:szCs w:val="18"/>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190,997</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157,474</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(74,186)</w:t>
            </w:r>
          </w:p>
        </w:tc>
      </w:tr>
      <w:tr>
        <w:trPr>
          <w:trHeight w:val="232"/>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(122,234)</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Cash flow from operating activities for the three months ended March 31, 2026 increased by $33.5 million compared to March 31, 2025, primarily driven by compensation payment timing and higher operating earnings during the period for the first quarter of 2026 as compared to the first quarter of 2025.</w:t>
      </w:r>
    </w:p>
    <w:p>
      <w:pPr>
        <w:spacing w:after="0" w:line="18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Adjusted Working Capital: </w:t>
      </w:r>
      <w:r>
        <w:rPr>
          <w:rFonts w:ascii="Times New Roman" w:cs="Times New Roman" w:eastAsia="Times New Roman" w:hAnsi="Times New Roman"/>
          <w:sz w:val="18"/>
          <w:szCs w:val="18"/>
          <w:color w:val="auto"/>
        </w:rPr>
        <w:t>We believe adjusted working capital (a non-GAAP measure calculated as receivables, plus inventory, less accounts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 meaningful measure of liquidity by showing changes caused by operational results.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calculation of adjusted working capital:</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Working Capital </w:t>
            </w: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1,371,352</w:t>
            </w: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1,272,784</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875,678</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working capital</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1,839,880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1,768,458</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working capital has increased by $71.4 million, or 4.0%, for the three months ended March 31, 2026, driven by an increase of $73.2 million in net receivables and an increase of $98.1 million in net inventory, partially offset by an increase in accounts payable of $99.8 million. These amounts include the effects of acquisitions and foreign currency translation. Accounts receivable increased compared to the prior year as a result of higher revenue generation in the quarter. Inventories increased to support higher volume deliveries expected over the next several quarters, as supported by the order book and in line with historical seasonality. These factors also led to an increase in accounts payable.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Cash flow from investing activities is derived from cash outflows for capital expenditures and acquisitions. The majority of the activity in investing activities was comprised of the following:</w:t>
      </w:r>
    </w:p>
    <w:p>
      <w:pPr>
        <w:spacing w:after="0" w:line="187" w:lineRule="exact"/>
        <w:rPr>
          <w:sz w:val="20"/>
          <w:szCs w:val="20"/>
          <w:color w:val="auto"/>
        </w:rPr>
      </w:pPr>
    </w:p>
    <w:p>
      <w:pPr>
        <w:ind w:left="640" w:hanging="313"/>
        <w:spacing w:after="0" w:line="279" w:lineRule="auto"/>
        <w:tabs>
          <w:tab w:leader="none" w:pos="63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Capital spending: </w:t>
      </w:r>
      <w:r>
        <w:rPr>
          <w:rFonts w:ascii="Times New Roman" w:cs="Times New Roman" w:eastAsia="Times New Roman" w:hAnsi="Times New Roman"/>
          <w:sz w:val="18"/>
          <w:szCs w:val="18"/>
          <w:color w:val="auto"/>
        </w:rPr>
        <w:t>Capital expenditures increased $11.6 million during the three months ended March 31,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in line with our planned capital expenditures for the year, primarily driven by investments in growth and productivity.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640" w:hanging="313"/>
        <w:spacing w:after="0" w:line="258" w:lineRule="auto"/>
        <w:tabs>
          <w:tab w:leader="none" w:pos="63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three months ended March 31, 2026, we deployed approximately $0.7 million to acquire one business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Engineered Products segment. In comparison, during the three months ended March 31, 2025, we deployed approximately $29.3 million, net to acquire one business within the Pumps &amp; Process Solutions segment. See Note 3 — Acquisitions in the condensed consolidated financial statements in Item 1 of this Form 10-Q for further details.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anticipate that capital expenditures and any additional acquisitions we make through the remainder of 2026 will be funded from available cash and internally generated funds and, if necessary, through the issuance of commercial paper, or by accessing the public debt or equity markets. We estimate capital expenditures in 2026 to range from $190.0 million to $210.0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Cash flow from financing activities generally relates to the use of cash for payment of dividends, purchases of our common stock, and cash payments related to the settlement of tax obligations for exercises of share-based awards. The majority of financing activity was attributed to the following:</w:t>
      </w:r>
    </w:p>
    <w:p>
      <w:pPr>
        <w:spacing w:after="0" w:line="187" w:lineRule="exact"/>
        <w:rPr>
          <w:sz w:val="20"/>
          <w:szCs w:val="20"/>
          <w:color w:val="auto"/>
        </w:rPr>
      </w:pPr>
    </w:p>
    <w:p>
      <w:pPr>
        <w:jc w:val="both"/>
        <w:ind w:left="640" w:hanging="313"/>
        <w:spacing w:after="0" w:line="263" w:lineRule="auto"/>
        <w:tabs>
          <w:tab w:leader="none" w:pos="63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Repurchase of common stock: </w:t>
      </w:r>
      <w:r>
        <w:rPr>
          <w:rFonts w:ascii="Times New Roman" w:cs="Times New Roman" w:eastAsia="Times New Roman" w:hAnsi="Times New Roman"/>
          <w:sz w:val="18"/>
          <w:szCs w:val="18"/>
          <w:color w:val="auto"/>
        </w:rPr>
        <w:t>The Company repurchased a total of 250,000 shares for $53.9 million during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200,000 shares for $40.7 million during the same period in 2025. See Note 17 — Stockholders' Equity in the condensed consolidated financial statements in Item 1 of this Form 10-Q for further details.</w:t>
      </w:r>
    </w:p>
    <w:p>
      <w:pPr>
        <w:spacing w:after="0" w:line="200" w:lineRule="exact"/>
        <w:rPr>
          <w:rFonts w:ascii="Times New Roman" w:cs="Times New Roman" w:eastAsia="Times New Roman" w:hAnsi="Times New Roman"/>
          <w:sz w:val="18"/>
          <w:szCs w:val="18"/>
          <w:b w:val="1"/>
          <w:bCs w:val="1"/>
          <w:i w:val="1"/>
          <w:iCs w:val="1"/>
          <w:color w:val="auto"/>
        </w:rPr>
      </w:pPr>
    </w:p>
    <w:p>
      <w:pPr>
        <w:jc w:val="both"/>
        <w:ind w:left="640" w:hanging="313"/>
        <w:spacing w:after="0" w:line="263" w:lineRule="auto"/>
        <w:tabs>
          <w:tab w:leader="none" w:pos="63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Dividend payments: </w:t>
      </w:r>
      <w:r>
        <w:rPr>
          <w:rFonts w:ascii="Times New Roman" w:cs="Times New Roman" w:eastAsia="Times New Roman" w:hAnsi="Times New Roman"/>
          <w:sz w:val="18"/>
          <w:szCs w:val="18"/>
          <w:color w:val="auto"/>
        </w:rPr>
        <w:t>Total dividend payments to common shareholders were $70.4 million during the three months ended March 31, 2026,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$71.4 million during the same period in 2025. Our dividends paid per common share increased 1.0% to $0.52 during the three months ended March 31, 2026 compared to $0.515 during the same period in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Free cash flow as a percentage of revenue equals free cash flow divided by revenue. Free cash flow as a percentage of earnings from continuing operations equals free cash flow divided by earnings from continuing operations.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free cash flow to cash flow provided by operating activities:</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5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i w:val="1"/>
                <w:i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190,997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157,474</w:t>
            </w:r>
          </w:p>
        </w:tc>
        <w:tc>
          <w:tcPr>
            <w:tcW w:w="0" w:type="dxa"/>
            <w:vAlign w:val="bottom"/>
          </w:tcPr>
          <w:p>
            <w:pPr>
              <w:spacing w:after="0"/>
              <w:rPr>
                <w:sz w:val="1"/>
                <w:szCs w:val="1"/>
                <w:color w:val="auto"/>
              </w:rPr>
            </w:pPr>
          </w:p>
        </w:tc>
      </w:tr>
      <w:tr>
        <w:trPr>
          <w:trHeight w:val="22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(59,808)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(48,192)</w:t>
            </w:r>
          </w:p>
        </w:tc>
        <w:tc>
          <w:tcPr>
            <w:tcW w:w="0" w:type="dxa"/>
            <w:vAlign w:val="bottom"/>
          </w:tcPr>
          <w:p>
            <w:pPr>
              <w:spacing w:after="0"/>
              <w:rPr>
                <w:sz w:val="1"/>
                <w:szCs w:val="1"/>
                <w:color w:val="auto"/>
              </w:rPr>
            </w:pPr>
          </w:p>
        </w:tc>
      </w:tr>
      <w:tr>
        <w:trPr>
          <w:trHeight w:val="218"/>
        </w:trPr>
        <w:tc>
          <w:tcPr>
            <w:tcW w:w="756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auto"/>
            </w:tcBorders>
            <w:shd w:val="clear" w:color="auto" w:fill="CCEEFF"/>
          </w:tcPr>
          <w:p>
            <w:pPr>
              <w:jc w:val="right"/>
              <w:ind w:right="17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131,189</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1"/>
              <w:spacing w:after="0" w:line="194" w:lineRule="exact"/>
              <w:rPr>
                <w:sz w:val="20"/>
                <w:szCs w:val="20"/>
                <w:color w:val="auto"/>
              </w:rPr>
            </w:pPr>
            <w:r>
              <w:rPr>
                <w:rFonts w:ascii="Times New Roman" w:cs="Times New Roman" w:eastAsia="Times New Roman" w:hAnsi="Times New Roman"/>
                <w:sz w:val="18"/>
                <w:szCs w:val="18"/>
                <w:color w:val="auto"/>
              </w:rPr>
              <w:t>109,282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revenue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5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earnings from continuing operations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0" w:type="dxa"/>
            <w:vAlign w:val="bottom"/>
          </w:tcPr>
          <w:p>
            <w:pPr>
              <w:spacing w:after="0"/>
              <w:rPr>
                <w:sz w:val="1"/>
                <w:szCs w:val="1"/>
                <w:color w:val="auto"/>
              </w:rPr>
            </w:pPr>
          </w:p>
        </w:tc>
      </w:tr>
      <w:tr>
        <w:trPr>
          <w:trHeight w:val="22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revenue</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earnings from continuing operations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three months ended March 31, 2026, we generated free cash flow of $131.2 million, representing 6.4% of revenue and 54.9% of earnings from continuing operations. Free cash flow for the three months ended March 31, 2026 increased $21.9 million, compared to March 31, 2025, primarily driven by compensation payment timing and higher operating earnings, partially offset by higher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commercial paper borrowings for general corporate purposes, including the funding of acquisitions and the repurchase of our common stock. As of March 31, 2026, we maintained $1.0 billion five-year and $500.0 million 364-day unsecured revolving credit facilities (together, the "Credit Agreements") with a syndicate of banks which expire April 6, 2028 and April 2, 2026, respectively. The Credit Agreements are designated as a liquidity back-stop for the Company's commercial paper program and also are available for general corporate purposes. As of March 31, 2026 and December 31, 2025, there were no outstanding borrowings under the five-year or 364-day credit facilities.</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an interest coverage ratio of consolidated EBITDA to consolidated net interest expense of not less than 3.0 to 1. The Company was in compliance with all covenants in the Credit Agreements and other long-term debt covenants at March 31, 2026 and had an interest coverage ratio of consolidated EBITDA to consolidated net interest expense of 40.8 to 1. We are not aware of any potential impairment to our liquidity and expect to remain in compliance with all of our debt covenants.</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April 2, 2026, the Company entered into a new $1.5 billion five-year unsecured revolving credit facility with a syndicate of banks on substantially similar terms as the existing Credit Agreements. The new five-year credit facility replaced the existing Credit Agreements. See Note 20 — Subsequent Events in the condensed consolidated financial statements in Item 1 of this Form 10-Q for additional details.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2026, our cash and cash equivalents totaled $1.6 billion, of which approximately $512.1 million was held outside the United States. At December 31, 2025, our cash and cash equivalents totaled $1.7 billion, of which approximately $447.8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utilize the net debt to net capitalization calculation (a non-GAAP measure) to evaluate our capital structure and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calculation of net debt to net capitalization from the most directly comparable GAAP measures: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to Net Capitalization Ratio</w:t>
            </w:r>
          </w:p>
        </w:tc>
        <w:tc>
          <w:tcPr>
            <w:tcW w:w="320" w:type="dxa"/>
            <w:vAlign w:val="bottom"/>
          </w:tcPr>
          <w:p>
            <w:pPr>
              <w:spacing w:after="0"/>
              <w:rPr>
                <w:sz w:val="18"/>
                <w:szCs w:val="18"/>
                <w:color w:val="auto"/>
              </w:rPr>
            </w:pPr>
          </w:p>
        </w:tc>
        <w:tc>
          <w:tcPr>
            <w:tcW w:w="2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18"/>
                <w:szCs w:val="18"/>
                <w:color w:val="auto"/>
              </w:rPr>
            </w:pPr>
          </w:p>
        </w:tc>
        <w:tc>
          <w:tcPr>
            <w:tcW w:w="2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Pr>
          <w:p>
            <w:pPr>
              <w:spacing w:after="0"/>
              <w:rPr>
                <w:sz w:val="20"/>
                <w:szCs w:val="20"/>
                <w:color w:val="auto"/>
              </w:rPr>
            </w:pPr>
          </w:p>
        </w:tc>
        <w:tc>
          <w:tcPr>
            <w:tcW w:w="20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692,848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706,677</w:t>
            </w:r>
          </w:p>
        </w:tc>
        <w:tc>
          <w:tcPr>
            <w:tcW w:w="0" w:type="dxa"/>
            <w:vAlign w:val="bottom"/>
          </w:tcPr>
          <w:p>
            <w:pPr>
              <w:spacing w:after="0"/>
              <w:rPr>
                <w:sz w:val="1"/>
                <w:szCs w:val="1"/>
                <w:color w:val="auto"/>
              </w:rPr>
            </w:pPr>
          </w:p>
        </w:tc>
      </w:tr>
      <w:tr>
        <w:trPr>
          <w:trHeight w:val="22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2,597,265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2,621,295</w:t>
            </w:r>
          </w:p>
        </w:tc>
        <w:tc>
          <w:tcPr>
            <w:tcW w:w="0" w:type="dxa"/>
            <w:vAlign w:val="bottom"/>
          </w:tcPr>
          <w:p>
            <w:pPr>
              <w:spacing w:after="0"/>
              <w:rPr>
                <w:sz w:val="1"/>
                <w:szCs w:val="1"/>
                <w:color w:val="auto"/>
              </w:rPr>
            </w:pPr>
          </w:p>
        </w:tc>
      </w:tr>
      <w:tr>
        <w:trPr>
          <w:trHeight w:val="22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3,290,113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3,327,972</w:t>
            </w:r>
          </w:p>
        </w:tc>
        <w:tc>
          <w:tcPr>
            <w:tcW w:w="0" w:type="dxa"/>
            <w:vAlign w:val="bottom"/>
          </w:tcPr>
          <w:p>
            <w:pPr>
              <w:spacing w:after="0"/>
              <w:rPr>
                <w:sz w:val="1"/>
                <w:szCs w:val="1"/>
                <w:color w:val="auto"/>
              </w:rPr>
            </w:pPr>
          </w:p>
        </w:tc>
      </w:tr>
      <w:tr>
        <w:trPr>
          <w:trHeight w:val="22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(1,641,916)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(1,676,808)</w:t>
            </w:r>
          </w:p>
        </w:tc>
        <w:tc>
          <w:tcPr>
            <w:tcW w:w="0" w:type="dxa"/>
            <w:vAlign w:val="bottom"/>
          </w:tcPr>
          <w:p>
            <w:pPr>
              <w:spacing w:after="0"/>
              <w:rPr>
                <w:sz w:val="1"/>
                <w:szCs w:val="1"/>
                <w:color w:val="auto"/>
              </w:rPr>
            </w:pPr>
          </w:p>
        </w:tc>
      </w:tr>
      <w:tr>
        <w:trPr>
          <w:trHeight w:val="22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1,648,197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1,651,164</w:t>
            </w:r>
          </w:p>
        </w:tc>
        <w:tc>
          <w:tcPr>
            <w:tcW w:w="0" w:type="dxa"/>
            <w:vAlign w:val="bottom"/>
          </w:tcPr>
          <w:p>
            <w:pPr>
              <w:spacing w:after="0"/>
              <w:rPr>
                <w:sz w:val="1"/>
                <w:szCs w:val="1"/>
                <w:color w:val="auto"/>
              </w:rPr>
            </w:pPr>
          </w:p>
        </w:tc>
      </w:tr>
      <w:tr>
        <w:trPr>
          <w:trHeight w:val="22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Stockholders' equity</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7,489,886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7,405,206</w:t>
            </w:r>
          </w:p>
        </w:tc>
        <w:tc>
          <w:tcPr>
            <w:tcW w:w="0" w:type="dxa"/>
            <w:vAlign w:val="bottom"/>
          </w:tcPr>
          <w:p>
            <w:pPr>
              <w:spacing w:after="0"/>
              <w:rPr>
                <w:sz w:val="1"/>
                <w:szCs w:val="1"/>
                <w:color w:val="auto"/>
              </w:rPr>
            </w:pPr>
          </w:p>
        </w:tc>
      </w:tr>
      <w:tr>
        <w:trPr>
          <w:trHeight w:val="24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9,138,083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9,056,370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debt to net capitalization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18.0 %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net debt to net capitalization ratio decreased to 18.0% at March 31, 2026 compared to 18.2% at December 31, 2025. Net debt decreased $3.0 million during the period primarily due to the decrease in value of the euro-denominated debt resulting from foreign currency translation adjustments, partially offset by a decrease in cash and cash equivalents. Stockholders' equity increased for the period primarily driven by current earnings of $238.4 million, partially offset by dividends paid and share repurchases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April 2026, JP Morgan delivered 153,652 additional shares upon completion of the accelerated share repurchase program ("ASR Program") initiated in the fourth quarter 2025. The Company received a total of 2,487,662 shares over the course of the ASR program. See Note 20 — Subsequent Events in the condensed consolidated financial statements in Item 1 of this Form 10-Q for additional details.</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Operating cash flow and access to capital markets are expected to satisfy our various cash flow requirements, including acquisitions, capital expenditures, purchase obligations, debt maturities, and lease obligations. Acquisition spending and/or share repurchases could potentially increase our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existing sources of liquidity are adequate to meet anticipated funding needs at current risk-based interest rates for the foreseeable future.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2025.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 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2025.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earnings from continuing operations,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Reconciliations and comparisons to non-GAAP measures can be found above in this Item 2,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three months ended March 31, 2026. For a discussion of our exposure to market risk, refer to Item 7A, "Quantitative and Qualitative Disclosures about Market Risk," contained in our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1"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March 31, 2026.</w:t>
      </w:r>
    </w:p>
    <w:p>
      <w:pPr>
        <w:spacing w:after="0" w:line="208"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color w:val="auto"/>
        </w:rPr>
        <w:t>During the first quarter of 2026, there were no changes in the Company's internal control over financial reporting that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Commitments and Contingent Liabilities in the condensed consolidated financial statements in Item 1 of this Form 10-Q.</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1"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 table presents shares of Dover Stock that we acquired during the quarter</w:t>
      </w:r>
    </w:p>
    <w:p>
      <w:pPr>
        <w:sectPr>
          <w:pgSz w:w="11900" w:h="16838" w:orient="portrait"/>
          <w:cols w:equalWidth="0" w:num="1">
            <w:col w:w="11340"/>
          </w:cols>
          <w:pgMar w:left="32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January 1 to January 31</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February 1 to February 28</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March 1 to March 31</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First Quarter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6"/>
              </w:rPr>
              <w:t>Maximum Number (or</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800" w:type="dxa"/>
            <w:vAlign w:val="bottom"/>
          </w:tcPr>
          <w:p>
            <w:pPr>
              <w:jc w:val="center"/>
              <w:ind w:left="51"/>
              <w:spacing w:after="0" w:line="178"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800" w:type="dxa"/>
            <w:vAlign w:val="bottom"/>
          </w:tcPr>
          <w:p>
            <w:pPr>
              <w:jc w:val="center"/>
              <w:ind w:left="51"/>
              <w:spacing w:after="0" w:line="182" w:lineRule="exact"/>
              <w:rPr>
                <w:sz w:val="20"/>
                <w:szCs w:val="20"/>
                <w:color w:val="auto"/>
              </w:rPr>
            </w:pPr>
            <w:r>
              <w:rPr>
                <w:rFonts w:ascii="Times New Roman" w:cs="Times New Roman" w:eastAsia="Times New Roman" w:hAnsi="Times New Roman"/>
                <w:sz w:val="18"/>
                <w:szCs w:val="18"/>
                <w:b w:val="1"/>
                <w:bCs w:val="1"/>
                <w:color w:val="auto"/>
                <w:w w:val="97"/>
              </w:rPr>
              <w:t>Value) of Shares that</w:t>
            </w:r>
          </w:p>
        </w:tc>
        <w:tc>
          <w:tcPr>
            <w:tcW w:w="0" w:type="dxa"/>
            <w:vAlign w:val="bottom"/>
          </w:tcPr>
          <w:p>
            <w:pPr>
              <w:spacing w:after="0"/>
              <w:rPr>
                <w:sz w:val="1"/>
                <w:szCs w:val="1"/>
                <w:color w:val="auto"/>
              </w:rPr>
            </w:pPr>
          </w:p>
        </w:tc>
      </w:tr>
      <w:tr>
        <w:trPr>
          <w:trHeight w:val="173"/>
        </w:trPr>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5"/>
                <w:szCs w:val="15"/>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204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800" w:type="dxa"/>
            <w:vAlign w:val="bottom"/>
          </w:tcPr>
          <w:p>
            <w:pPr>
              <w:jc w:val="center"/>
              <w:ind w:left="11"/>
              <w:spacing w:after="0" w:line="174" w:lineRule="exact"/>
              <w:rPr>
                <w:sz w:val="20"/>
                <w:szCs w:val="20"/>
                <w:color w:val="auto"/>
              </w:rPr>
            </w:pPr>
            <w:r>
              <w:rPr>
                <w:rFonts w:ascii="Times New Roman" w:cs="Times New Roman" w:eastAsia="Times New Roman" w:hAnsi="Times New Roman"/>
                <w:sz w:val="18"/>
                <w:szCs w:val="18"/>
                <w:b w:val="1"/>
                <w:bCs w:val="1"/>
                <w:color w:val="auto"/>
                <w:w w:val="96"/>
              </w:rPr>
              <w:t>May Yet Be Purchased</w:t>
            </w:r>
          </w:p>
        </w:tc>
        <w:tc>
          <w:tcPr>
            <w:tcW w:w="0" w:type="dxa"/>
            <w:vAlign w:val="bottom"/>
          </w:tcPr>
          <w:p>
            <w:pPr>
              <w:spacing w:after="0"/>
              <w:rPr>
                <w:sz w:val="1"/>
                <w:szCs w:val="1"/>
                <w:color w:val="auto"/>
              </w:rPr>
            </w:pPr>
          </w:p>
        </w:tc>
      </w:tr>
      <w:tr>
        <w:trPr>
          <w:trHeight w:val="187"/>
        </w:trPr>
        <w:tc>
          <w:tcPr>
            <w:tcW w:w="1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4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800" w:type="dxa"/>
            <w:vAlign w:val="bottom"/>
          </w:tcPr>
          <w:p>
            <w:pPr>
              <w:jc w:val="center"/>
              <w:ind w:left="51"/>
              <w:spacing w:after="0" w:line="187" w:lineRule="exact"/>
              <w:rPr>
                <w:sz w:val="20"/>
                <w:szCs w:val="20"/>
                <w:color w:val="auto"/>
              </w:rPr>
            </w:pPr>
            <w:r>
              <w:rPr>
                <w:rFonts w:ascii="Times New Roman" w:cs="Times New Roman" w:eastAsia="Times New Roman" w:hAnsi="Times New Roman"/>
                <w:sz w:val="18"/>
                <w:szCs w:val="18"/>
                <w:b w:val="1"/>
                <w:bCs w:val="1"/>
                <w:color w:val="auto"/>
                <w:w w:val="99"/>
              </w:rPr>
              <w:t>under the Plans or</w:t>
            </w:r>
          </w:p>
        </w:tc>
        <w:tc>
          <w:tcPr>
            <w:tcW w:w="0" w:type="dxa"/>
            <w:vAlign w:val="bottom"/>
          </w:tcPr>
          <w:p>
            <w:pPr>
              <w:spacing w:after="0"/>
              <w:rPr>
                <w:sz w:val="1"/>
                <w:szCs w:val="1"/>
                <w:color w:val="auto"/>
              </w:rPr>
            </w:pPr>
          </w:p>
        </w:tc>
      </w:tr>
      <w:tr>
        <w:trPr>
          <w:trHeight w:val="227"/>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Paid per Share</w:t>
            </w:r>
          </w:p>
        </w:tc>
        <w:tc>
          <w:tcPr>
            <w:tcW w:w="2040" w:type="dxa"/>
            <w:vAlign w:val="bottom"/>
            <w:gridSpan w:val="2"/>
          </w:tcPr>
          <w:p>
            <w:pPr>
              <w:jc w:val="center"/>
              <w:ind w:right="120"/>
              <w:spacing w:after="0" w:line="226" w:lineRule="exact"/>
              <w:rPr>
                <w:sz w:val="20"/>
                <w:szCs w:val="20"/>
                <w:color w:val="auto"/>
              </w:rPr>
            </w:pPr>
            <w:r>
              <w:rPr>
                <w:rFonts w:ascii="Times New Roman" w:cs="Times New Roman" w:eastAsia="Times New Roman" w:hAnsi="Times New Roman"/>
                <w:sz w:val="18"/>
                <w:szCs w:val="18"/>
                <w:b w:val="1"/>
                <w:bCs w:val="1"/>
                <w:color w:val="auto"/>
                <w:w w:val="96"/>
              </w:rPr>
              <w:t xml:space="preserve">Plans or Programs </w:t>
            </w:r>
            <w:r>
              <w:rPr>
                <w:rFonts w:ascii="Times New Roman" w:cs="Times New Roman" w:eastAsia="Times New Roman" w:hAnsi="Times New Roman"/>
                <w:sz w:val="23"/>
                <w:szCs w:val="23"/>
                <w:b w:val="1"/>
                <w:bCs w:val="1"/>
                <w:color w:val="auto"/>
                <w:w w:val="96"/>
                <w:vertAlign w:val="superscript"/>
              </w:rPr>
              <w:t>(2)</w:t>
            </w:r>
          </w:p>
        </w:tc>
        <w:tc>
          <w:tcPr>
            <w:tcW w:w="1800" w:type="dxa"/>
            <w:vAlign w:val="bottom"/>
          </w:tcPr>
          <w:p>
            <w:pPr>
              <w:jc w:val="center"/>
              <w:ind w:left="51"/>
              <w:spacing w:after="0" w:line="226"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15"/>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20" w:type="dxa"/>
            <w:vAlign w:val="bottom"/>
            <w:tcBorders>
              <w:top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14,596,70</w:t>
            </w:r>
          </w:p>
        </w:tc>
        <w:tc>
          <w:tcPr>
            <w:tcW w:w="0" w:type="dxa"/>
            <w:vAlign w:val="bottom"/>
          </w:tcPr>
          <w:p>
            <w:pPr>
              <w:spacing w:after="0"/>
              <w:rPr>
                <w:sz w:val="1"/>
                <w:szCs w:val="1"/>
                <w:color w:val="auto"/>
              </w:rPr>
            </w:pPr>
          </w:p>
        </w:tc>
      </w:tr>
      <w:tr>
        <w:trPr>
          <w:trHeight w:val="227"/>
        </w:trPr>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14,596,70</w:t>
            </w:r>
          </w:p>
        </w:tc>
        <w:tc>
          <w:tcPr>
            <w:tcW w:w="0" w:type="dxa"/>
            <w:vAlign w:val="bottom"/>
          </w:tcPr>
          <w:p>
            <w:pPr>
              <w:spacing w:after="0"/>
              <w:rPr>
                <w:sz w:val="1"/>
                <w:szCs w:val="1"/>
                <w:color w:val="auto"/>
              </w:rPr>
            </w:pPr>
          </w:p>
        </w:tc>
      </w:tr>
      <w:tr>
        <w:trPr>
          <w:trHeight w:val="232"/>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00" w:type="dxa"/>
            <w:vAlign w:val="bottom"/>
          </w:tcPr>
          <w:p>
            <w:pPr>
              <w:spacing w:after="0"/>
              <w:rPr>
                <w:sz w:val="20"/>
                <w:szCs w:val="20"/>
                <w:color w:val="auto"/>
              </w:rPr>
            </w:pPr>
          </w:p>
        </w:tc>
        <w:tc>
          <w:tcPr>
            <w:tcW w:w="20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14,346,70</w:t>
            </w:r>
          </w:p>
        </w:tc>
        <w:tc>
          <w:tcPr>
            <w:tcW w:w="0" w:type="dxa"/>
            <w:vAlign w:val="bottom"/>
          </w:tcPr>
          <w:p>
            <w:pPr>
              <w:spacing w:after="0"/>
              <w:rPr>
                <w:sz w:val="1"/>
                <w:szCs w:val="1"/>
                <w:color w:val="auto"/>
              </w:rPr>
            </w:pPr>
          </w:p>
        </w:tc>
      </w:tr>
      <w:tr>
        <w:trPr>
          <w:trHeight w:val="220"/>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00" w:type="dxa"/>
            <w:vAlign w:val="bottom"/>
          </w:tcPr>
          <w:p>
            <w:pPr>
              <w:spacing w:after="0"/>
              <w:rPr>
                <w:sz w:val="19"/>
                <w:szCs w:val="19"/>
                <w:color w:val="auto"/>
              </w:rPr>
            </w:pPr>
          </w:p>
        </w:tc>
        <w:tc>
          <w:tcPr>
            <w:tcW w:w="1920" w:type="dxa"/>
            <w:vAlign w:val="bottom"/>
            <w:tcBorders>
              <w:top w:val="single" w:sz="8" w:color="auto"/>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14,346,70</w:t>
            </w: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-626110</wp:posOffset>
            </wp:positionV>
            <wp:extent cx="6790055" cy="152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0055" cy="152400"/>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-329565</wp:posOffset>
            </wp:positionV>
            <wp:extent cx="6790055"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0055"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940"/>
          </w:cols>
          <w:pgMar w:left="320" w:top="126" w:right="239" w:bottom="1440" w:gutter="0" w:footer="0" w:header="0"/>
          <w:type w:val="continuous"/>
        </w:sectPr>
      </w:pPr>
    </w:p>
    <w:p>
      <w:pPr>
        <w:spacing w:after="0" w:line="115" w:lineRule="exact"/>
        <w:rPr>
          <w:sz w:val="20"/>
          <w:szCs w:val="20"/>
          <w:color w:val="auto"/>
        </w:rPr>
      </w:pPr>
    </w:p>
    <w:p>
      <w:pPr>
        <w:jc w:val="both"/>
        <w:ind w:left="320" w:right="100" w:firstLine="7"/>
        <w:spacing w:after="0" w:line="252" w:lineRule="auto"/>
        <w:tabs>
          <w:tab w:leader="none" w:pos="5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August 2023, the Company's Board of Directors approved a new standing share repurchase authorization whereby the Company may repurchase up to 20 million shares beginning on January 1, 2024 through December 31, 2026. The Company repurchased 250,000 shares under the August 2023 authorization during the three months ended March 31, 2026. As of March 31, 2026, the number of shares still available for repurchase under the current share repurchase authorization was 14,346,708.</w:t>
      </w:r>
    </w:p>
    <w:p>
      <w:pPr>
        <w:spacing w:after="0" w:line="212" w:lineRule="exact"/>
        <w:rPr>
          <w:rFonts w:ascii="Times New Roman" w:cs="Times New Roman" w:eastAsia="Times New Roman" w:hAnsi="Times New Roman"/>
          <w:sz w:val="22"/>
          <w:szCs w:val="22"/>
          <w:color w:val="auto"/>
          <w:vertAlign w:val="superscript"/>
        </w:rPr>
      </w:pPr>
    </w:p>
    <w:p>
      <w:pPr>
        <w:jc w:val="both"/>
        <w:ind w:left="320" w:right="100" w:firstLine="7"/>
        <w:spacing w:after="0" w:line="256" w:lineRule="auto"/>
        <w:tabs>
          <w:tab w:leader="none" w:pos="504"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November 10, 2025, the Company entered into a $500.0 million accelerated share repurchase agreement (the "ASR Agreement") with JP Morgan Chase Bank, N.A. ("JP Morgan") to repurchase its shares in an accelerated share repurchase program (the "ASR Program"). The Company funded the ASR Program with cash on hand. Under the terms of the ASR Agreement, the Company paid JP Morgan $500.0 million on November 12, 2025, and on that date received initial delivery of 2,334,010 shares, representing a substantial majority of the shares expected to be retired over the course of the ASR Program. In April 2026, JP Morgan delivered 153,652 additional shares which completed the ASR Program. Over the course of the ASR Program, the Company received a total of 2,487,662 shares. The total number of shares ultimately repurchased under the ASR Agreement was based on the average of the daily volume-weighted average share price of Dover's common stock during the calculation period of the ASR Program, less a discount, which was $200.99.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None.</w:t>
      </w:r>
    </w:p>
    <w:p>
      <w:pPr>
        <w:spacing w:after="0" w:line="24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 During the three months ended March 31, 2026, no director or Section 16 officer adopted or terminated any Rule 10b5-1 trading arrangements or non-Rule 10b5-1 trading arrangements as defined in Item 408 of Regulation S-K.</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Christopher B. Woenker.</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Richard J. Tobin.</w:t>
      </w:r>
    </w:p>
    <w:p>
      <w:pPr>
        <w:spacing w:after="0" w:line="140" w:lineRule="exact"/>
        <w:rPr>
          <w:sz w:val="20"/>
          <w:szCs w:val="20"/>
          <w:color w:val="auto"/>
        </w:rPr>
      </w:pPr>
    </w:p>
    <w:p>
      <w:pPr>
        <w:ind w:left="980" w:hanging="212"/>
        <w:spacing w:after="0" w:line="23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signed and dated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Richard J. Tobin and Christopher B. Woenker.</w:t>
      </w:r>
    </w:p>
    <w:p>
      <w:pPr>
        <w:spacing w:after="0" w:line="155" w:lineRule="exact"/>
        <w:rPr>
          <w:sz w:val="20"/>
          <w:szCs w:val="20"/>
          <w:color w:val="auto"/>
        </w:rPr>
      </w:pPr>
    </w:p>
    <w:p>
      <w:pPr>
        <w:jc w:val="both"/>
        <w:ind w:left="980" w:hanging="364"/>
        <w:spacing w:after="0" w:line="217"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Dover Corporation’s Quarterly Report on Form 10-Q for the quarter ended March 31, 2026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DOVER CORPORATION</w:t>
            </w:r>
          </w:p>
        </w:tc>
      </w:tr>
      <w:tr>
        <w:trPr>
          <w:trHeight w:val="45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23, 2026</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5"/>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27"/>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2"/>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23, 2026</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W. Paulson</w:t>
            </w:r>
          </w:p>
        </w:tc>
      </w:tr>
      <w:tr>
        <w:trPr>
          <w:trHeight w:val="215"/>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Ryan W. Paulson</w:t>
            </w:r>
          </w:p>
        </w:tc>
      </w:tr>
      <w:tr>
        <w:trPr>
          <w:trHeight w:val="227"/>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w:t>
            </w:r>
          </w:p>
        </w:tc>
      </w:tr>
      <w:tr>
        <w:trPr>
          <w:trHeight w:val="232"/>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240"/>
          </w:cols>
          <w:pgMar w:left="320" w:top="12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Woenker, certify that:</w:t>
      </w:r>
    </w:p>
    <w:p>
      <w:pPr>
        <w:spacing w:after="0" w:line="167" w:lineRule="exact"/>
        <w:rPr>
          <w:sz w:val="20"/>
          <w:szCs w:val="20"/>
          <w:color w:val="auto"/>
        </w:rPr>
      </w:pPr>
    </w:p>
    <w:p>
      <w:pPr>
        <w:ind w:left="480" w:hanging="313"/>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66" w:lineRule="exact"/>
        <w:rPr>
          <w:rFonts w:ascii="Times New Roman" w:cs="Times New Roman" w:eastAsia="Times New Roman" w:hAnsi="Times New Roman"/>
          <w:sz w:val="18"/>
          <w:szCs w:val="18"/>
          <w:color w:val="auto"/>
        </w:rPr>
      </w:pPr>
    </w:p>
    <w:p>
      <w:pPr>
        <w:jc w:val="both"/>
        <w:ind w:left="480" w:hanging="313"/>
        <w:spacing w:after="0" w:line="262"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480" w:hanging="313"/>
        <w:spacing w:after="0" w:line="277"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Times New Roman" w:cs="Times New Roman" w:eastAsia="Times New Roman" w:hAnsi="Times New Roman"/>
          <w:sz w:val="18"/>
          <w:szCs w:val="18"/>
          <w:color w:val="auto"/>
        </w:rPr>
      </w:pPr>
    </w:p>
    <w:p>
      <w:pPr>
        <w:jc w:val="both"/>
        <w:ind w:left="480" w:hanging="313"/>
        <w:spacing w:after="0" w:line="262"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720" w:hanging="313"/>
        <w:spacing w:after="0" w:line="262" w:lineRule="auto"/>
        <w:tabs>
          <w:tab w:leader="none" w:pos="71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720" w:hanging="313"/>
        <w:spacing w:after="0" w:line="262" w:lineRule="auto"/>
        <w:tabs>
          <w:tab w:leader="none" w:pos="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720" w:hanging="313"/>
        <w:spacing w:after="0" w:line="277" w:lineRule="auto"/>
        <w:tabs>
          <w:tab w:leader="none" w:pos="71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Times New Roman" w:cs="Times New Roman" w:eastAsia="Times New Roman" w:hAnsi="Times New Roman"/>
          <w:sz w:val="18"/>
          <w:szCs w:val="18"/>
          <w:color w:val="auto"/>
        </w:rPr>
      </w:pPr>
    </w:p>
    <w:p>
      <w:pPr>
        <w:jc w:val="both"/>
        <w:ind w:left="720" w:hanging="313"/>
        <w:spacing w:after="0" w:line="262" w:lineRule="auto"/>
        <w:tabs>
          <w:tab w:leader="none" w:pos="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480" w:hanging="313"/>
        <w:spacing w:after="0" w:line="277"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Times New Roman" w:cs="Times New Roman" w:eastAsia="Times New Roman" w:hAnsi="Times New Roman"/>
          <w:sz w:val="18"/>
          <w:szCs w:val="18"/>
          <w:color w:val="auto"/>
        </w:rPr>
      </w:pPr>
    </w:p>
    <w:p>
      <w:pPr>
        <w:ind w:left="720" w:hanging="313"/>
        <w:spacing w:after="0" w:line="277" w:lineRule="auto"/>
        <w:tabs>
          <w:tab w:leader="none" w:pos="71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Times New Roman" w:cs="Times New Roman" w:eastAsia="Times New Roman" w:hAnsi="Times New Roman"/>
          <w:sz w:val="18"/>
          <w:szCs w:val="18"/>
          <w:color w:val="auto"/>
        </w:rPr>
      </w:pPr>
    </w:p>
    <w:p>
      <w:pPr>
        <w:ind w:left="720" w:hanging="313"/>
        <w:spacing w:after="0" w:line="277" w:lineRule="auto"/>
        <w:tabs>
          <w:tab w:leader="none" w:pos="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100" w:type="dxa"/>
        <w:tblCellMar>
          <w:top w:w="0" w:type="dxa"/>
          <w:left w:w="0" w:type="dxa"/>
          <w:bottom w:w="0" w:type="dxa"/>
          <w:right w:w="0" w:type="dxa"/>
        </w:tblCellMar>
      </w:tblPr>
      <w:tr>
        <w:trPr>
          <w:trHeight w:val="23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5"/>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27"/>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2"/>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78"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Tobin, certify that:</w:t>
      </w:r>
    </w:p>
    <w:p>
      <w:pPr>
        <w:spacing w:after="0" w:line="167" w:lineRule="exact"/>
        <w:rPr>
          <w:sz w:val="20"/>
          <w:szCs w:val="20"/>
          <w:color w:val="auto"/>
        </w:rPr>
      </w:pPr>
    </w:p>
    <w:p>
      <w:pPr>
        <w:ind w:left="480" w:hanging="313"/>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66" w:lineRule="exact"/>
        <w:rPr>
          <w:rFonts w:ascii="Times New Roman" w:cs="Times New Roman" w:eastAsia="Times New Roman" w:hAnsi="Times New Roman"/>
          <w:sz w:val="18"/>
          <w:szCs w:val="18"/>
          <w:color w:val="auto"/>
        </w:rPr>
      </w:pPr>
    </w:p>
    <w:p>
      <w:pPr>
        <w:jc w:val="both"/>
        <w:ind w:left="480" w:hanging="313"/>
        <w:spacing w:after="0" w:line="262"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480" w:hanging="313"/>
        <w:spacing w:after="0" w:line="277"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Times New Roman" w:cs="Times New Roman" w:eastAsia="Times New Roman" w:hAnsi="Times New Roman"/>
          <w:sz w:val="18"/>
          <w:szCs w:val="18"/>
          <w:color w:val="auto"/>
        </w:rPr>
      </w:pPr>
    </w:p>
    <w:p>
      <w:pPr>
        <w:jc w:val="both"/>
        <w:ind w:left="480" w:hanging="313"/>
        <w:spacing w:after="0" w:line="262"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720" w:hanging="313"/>
        <w:spacing w:after="0" w:line="262" w:lineRule="auto"/>
        <w:tabs>
          <w:tab w:leader="none" w:pos="7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720" w:hanging="313"/>
        <w:spacing w:after="0" w:line="262"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720" w:hanging="313"/>
        <w:spacing w:after="0" w:line="277" w:lineRule="auto"/>
        <w:tabs>
          <w:tab w:leader="none" w:pos="7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Times New Roman" w:cs="Times New Roman" w:eastAsia="Times New Roman" w:hAnsi="Times New Roman"/>
          <w:sz w:val="18"/>
          <w:szCs w:val="18"/>
          <w:color w:val="auto"/>
        </w:rPr>
      </w:pPr>
    </w:p>
    <w:p>
      <w:pPr>
        <w:jc w:val="both"/>
        <w:ind w:left="720" w:hanging="313"/>
        <w:spacing w:after="0" w:line="262"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480" w:hanging="313"/>
        <w:spacing w:after="0" w:line="277"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Times New Roman" w:cs="Times New Roman" w:eastAsia="Times New Roman" w:hAnsi="Times New Roman"/>
          <w:sz w:val="18"/>
          <w:szCs w:val="18"/>
          <w:color w:val="auto"/>
        </w:rPr>
      </w:pPr>
    </w:p>
    <w:p>
      <w:pPr>
        <w:ind w:left="720" w:hanging="313"/>
        <w:spacing w:after="0" w:line="277" w:lineRule="auto"/>
        <w:tabs>
          <w:tab w:leader="none" w:pos="7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Times New Roman" w:cs="Times New Roman" w:eastAsia="Times New Roman" w:hAnsi="Times New Roman"/>
          <w:sz w:val="18"/>
          <w:szCs w:val="18"/>
          <w:color w:val="auto"/>
        </w:rPr>
      </w:pPr>
    </w:p>
    <w:p>
      <w:pPr>
        <w:ind w:left="720" w:hanging="313"/>
        <w:spacing w:after="0" w:line="277"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100" w:type="dxa"/>
        <w:tblCellMar>
          <w:top w:w="0" w:type="dxa"/>
          <w:left w:w="0" w:type="dxa"/>
          <w:bottom w:w="0" w:type="dxa"/>
          <w:right w:w="0" w:type="dxa"/>
        </w:tblCellMar>
      </w:tblPr>
      <w:tr>
        <w:trPr>
          <w:trHeight w:val="23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5"/>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27"/>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2"/>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March 31,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Dover Corporation</w:t>
      </w:r>
    </w:p>
    <w:p>
      <w:pPr>
        <w:spacing w:after="0" w:line="22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105" w:lineRule="exact"/>
        <w:rPr>
          <w:sz w:val="20"/>
          <w:szCs w:val="20"/>
          <w:color w:val="auto"/>
        </w:rPr>
      </w:pPr>
    </w:p>
    <w:p>
      <w:pPr>
        <w:ind w:left="640" w:hanging="313"/>
        <w:spacing w:after="0" w:line="281"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(the “Form 10-Q</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fully complies with the requirements of Section 13(a) of the Securities Exchange Act of 1934, as amended; and</w:t>
      </w:r>
    </w:p>
    <w:p>
      <w:pPr>
        <w:spacing w:after="0" w:line="10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23,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5"/>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27"/>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2"/>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23,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5"/>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27"/>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2"/>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3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amp;"/>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2026-04-23T06:10:41Z</dcterms:created>
  <dcterms:modified xsi:type="dcterms:W3CDTF">2026-04-23T06:10:41Z</dcterms:modified>
</cp:coreProperties>
</file>