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880" w:right="1860" w:hanging="3872"/>
        <w:spacing w:after="0" w:line="397" w:lineRule="auto"/>
        <w:tabs>
          <w:tab w:leader="none" w:pos="3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20" w:type="dxa"/>
            <w:vAlign w:val="bottom"/>
          </w:tcPr>
          <w:p>
            <w:pPr>
              <w:ind w:left="1240"/>
              <w:spacing w:after="0" w:line="170"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280"/>
              <w:spacing w:after="0" w:line="170"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20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July 19, 2024 was 137,457,619.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1"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7"/>
              </w:rPr>
              <w:t>PART I — FINANCIAL INFORMATION</w:t>
            </w:r>
          </w:p>
        </w:tc>
        <w:tc>
          <w:tcPr>
            <w:tcW w:w="7380" w:type="dxa"/>
            <w:vAlign w:val="bottom"/>
            <w:gridSpan w:val="15"/>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6"/>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and six months ended June 30, 2024 and 2023</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and six months ended June 30, 2024 and 2023</w:t>
            </w:r>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and December 31, 2023</w:t>
            </w:r>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02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080" w:type="dxa"/>
            <w:vAlign w:val="bottom"/>
            <w:gridSpan w:val="12"/>
          </w:tcPr>
          <w:p>
            <w:pPr>
              <w:spacing w:after="0"/>
              <w:rPr>
                <w:sz w:val="18"/>
                <w:szCs w:val="18"/>
                <w:color w:val="auto"/>
              </w:rPr>
            </w:pPr>
          </w:p>
        </w:tc>
        <w:tc>
          <w:tcPr>
            <w:tcW w:w="2400" w:type="dxa"/>
            <w:vAlign w:val="bottom"/>
            <w:gridSpan w:val="4"/>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6"/>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 4 — Dispositions</w:t>
            </w:r>
          </w:p>
        </w:tc>
        <w:tc>
          <w:tcPr>
            <w:tcW w:w="8040" w:type="dxa"/>
            <w:vAlign w:val="bottom"/>
            <w:gridSpan w:val="21"/>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Note 5 — Inventories, net</w:t>
            </w:r>
          </w:p>
        </w:tc>
        <w:tc>
          <w:tcPr>
            <w:tcW w:w="7840" w:type="dxa"/>
            <w:vAlign w:val="bottom"/>
            <w:gridSpan w:val="18"/>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 6 — Property, Plant and Equipment, net</w:t>
            </w:r>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7 — Credit Losses</w:t>
            </w:r>
          </w:p>
        </w:tc>
        <w:tc>
          <w:tcPr>
            <w:tcW w:w="64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Note 8 — Goodwill and Other Intangible Assets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 9 — Restructuring Activities</w:t>
            </w:r>
          </w:p>
        </w:tc>
        <w:tc>
          <w:tcPr>
            <w:tcW w:w="6220" w:type="dxa"/>
            <w:vAlign w:val="bottom"/>
            <w:gridSpan w:val="9"/>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Note 10 — Borrowings</w:t>
            </w:r>
          </w:p>
        </w:tc>
        <w:tc>
          <w:tcPr>
            <w:tcW w:w="780" w:type="dxa"/>
            <w:vAlign w:val="bottom"/>
            <w:gridSpan w:val="7"/>
          </w:tcPr>
          <w:p>
            <w:pPr>
              <w:spacing w:after="0"/>
              <w:rPr>
                <w:sz w:val="18"/>
                <w:szCs w:val="18"/>
                <w:color w:val="auto"/>
              </w:rPr>
            </w:pPr>
          </w:p>
        </w:tc>
        <w:tc>
          <w:tcPr>
            <w:tcW w:w="722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11 — Financial Instruments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Note 12 — Income Taxes</w:t>
            </w:r>
          </w:p>
        </w:tc>
        <w:tc>
          <w:tcPr>
            <w:tcW w:w="540" w:type="dxa"/>
            <w:vAlign w:val="bottom"/>
            <w:gridSpan w:val="4"/>
          </w:tcPr>
          <w:p>
            <w:pPr>
              <w:spacing w:after="0"/>
              <w:rPr>
                <w:sz w:val="18"/>
                <w:szCs w:val="18"/>
                <w:color w:val="auto"/>
              </w:rPr>
            </w:pPr>
          </w:p>
        </w:tc>
        <w:tc>
          <w:tcPr>
            <w:tcW w:w="730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13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Note 14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80" w:type="dxa"/>
            <w:vAlign w:val="bottom"/>
            <w:gridSpan w:val="3"/>
          </w:tcPr>
          <w:p>
            <w:pPr>
              <w:spacing w:after="0"/>
              <w:rPr>
                <w:sz w:val="18"/>
                <w:szCs w:val="18"/>
                <w:color w:val="auto"/>
              </w:rPr>
            </w:pP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Note 17 — Stockholders' Equity</w:t>
            </w:r>
          </w:p>
        </w:tc>
        <w:tc>
          <w:tcPr>
            <w:tcW w:w="738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100" w:type="dxa"/>
            <w:vAlign w:val="bottom"/>
          </w:tcPr>
          <w:p>
            <w:pPr>
              <w:spacing w:after="0"/>
              <w:rPr>
                <w:sz w:val="18"/>
                <w:szCs w:val="18"/>
                <w:color w:val="auto"/>
              </w:rPr>
            </w:pPr>
          </w:p>
        </w:tc>
        <w:tc>
          <w:tcPr>
            <w:tcW w:w="738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20 — Subsequent Events</w:t>
            </w:r>
          </w:p>
        </w:tc>
        <w:tc>
          <w:tcPr>
            <w:tcW w:w="1260" w:type="dxa"/>
            <w:vAlign w:val="bottom"/>
            <w:gridSpan w:val="7"/>
          </w:tcPr>
          <w:p>
            <w:pPr>
              <w:spacing w:after="0"/>
              <w:rPr>
                <w:sz w:val="18"/>
                <w:szCs w:val="18"/>
                <w:color w:val="auto"/>
              </w:rPr>
            </w:pP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12"/>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380" w:type="dxa"/>
            <w:vAlign w:val="bottom"/>
            <w:gridSpan w:val="2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tcBorders>
              <w:bottom w:val="single" w:sz="8" w:color="0000FF"/>
            </w:tcBorders>
            <w:gridSpan w:val="2"/>
          </w:tcPr>
          <w:p>
            <w:pPr>
              <w:spacing w:after="0"/>
              <w:rPr>
                <w:sz w:val="18"/>
                <w:szCs w:val="18"/>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4"/>
          </w:tcPr>
          <w:p>
            <w:pPr>
              <w:spacing w:after="0"/>
              <w:rPr>
                <w:sz w:val="18"/>
                <w:szCs w:val="18"/>
                <w:color w:val="auto"/>
              </w:rPr>
            </w:pPr>
          </w:p>
        </w:tc>
        <w:tc>
          <w:tcPr>
            <w:tcW w:w="738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380" w:type="dxa"/>
            <w:vAlign w:val="bottom"/>
            <w:gridSpan w:val="2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62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4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4,179,109</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2,693,381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2,673,254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1,505,855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866,754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639,101</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68,018</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disposition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586,313</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w:t>
            </w: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140,597</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4"/>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7"/>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6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earnings, net of tax</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r>
      <w:tr>
        <w:trPr>
          <w:trHeight w:val="229"/>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5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$(3,074), $3,166,</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$(7,460) and $7,216 tax (provision) benefit, respectively)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37,907</w:t>
            </w: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 included in net periodic pension cost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176"/>
        </w:trPr>
        <w:tc>
          <w:tcPr>
            <w:tcW w:w="5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(credits) costs included in net periodic</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cost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155"/>
        </w:trPr>
        <w:tc>
          <w:tcPr>
            <w:tcW w:w="5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$138, $83, $277</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and $165 tax benefit, respectively)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net gain (loss) arising during period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 loss reclassified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155"/>
        </w:trPr>
        <w:tc>
          <w:tcPr>
            <w:tcW w:w="5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flow hedges (net of $(223), $(167), $(46) and $(387) tax benefit</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respectively)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38,721</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885,138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509,534</w:t>
            </w: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398,561</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1,432,040</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1,225,452</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141,538</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192,644</w:t>
            </w:r>
          </w:p>
        </w:tc>
      </w:tr>
      <w:tr>
        <w:trPr>
          <w:trHeight w:val="223"/>
        </w:trPr>
        <w:tc>
          <w:tcPr>
            <w:tcW w:w="71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3,265,969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3,390,235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1,031,816</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4,881,687</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1,483,913</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560,862</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11,348,513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468,282</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958,542</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272,507</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211,292</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86,174</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315,527</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64,568</w:t>
            </w:r>
          </w:p>
        </w:tc>
      </w:tr>
      <w:tr>
        <w:trPr>
          <w:trHeight w:val="223"/>
        </w:trPr>
        <w:tc>
          <w:tcPr>
            <w:tcW w:w="716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2,413,770</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2,991,759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346,383</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461,972</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5,106,605</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11,291,760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11,348,513</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00"/>
          </w:cols>
          <w:pgMar w:left="34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4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5,152,852</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($0.510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10,380,895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4,460,561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($0.505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4,662,105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16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10,995,624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5,106,605</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($1.02 per share)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(141,644)</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acquired, including</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accelerated share repurchase program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(504,250)</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11,768,023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2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10,223,070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4,286,366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470,813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($1.01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10,552,433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4,662,105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089"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156,687</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disposition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effect of changes in assets and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(30,635)</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and deferred taxes,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436,538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(88,454)</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Acquisitions, net of cash and cash equivalents acquired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disposition, net of cash transferred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Repurchase of common stock, including prepayment under accelerated share repurchase program</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commercial paper and other short-term borrowings,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(289,597)</w:t>
            </w:r>
          </w:p>
        </w:tc>
      </w:tr>
      <w:tr>
        <w:trPr>
          <w:trHeight w:val="23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(141,474)</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to settle employee tax obligations on exercise of share-based awards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r>
      <w:tr>
        <w:trPr>
          <w:trHeight w:val="229"/>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(444,489)</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(95,091)</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at beginning of period, including cash held for sale </w:t>
            </w:r>
            <w:r>
              <w:rPr>
                <w:rFonts w:ascii="Times New Roman" w:cs="Times New Roman" w:eastAsia="Times New Roman" w:hAnsi="Times New Roman"/>
                <w:sz w:val="9"/>
                <w:szCs w:val="9"/>
                <w:color w:val="auto"/>
              </w:rPr>
              <w:t>(1)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415,861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380,868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Cash held for sale as of December 31, 2023 and 2022 totaled $17,300 and $0, respectively.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2023, included in the Company's Annual Report on Form 10-K filed with the SEC on February 9, 2024. The year-end condensed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they best depict the nature and amount of the Company’s revenue. See Note 16 — Segment Information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 and relates to the sale of equipment or services, including software solutions and services, in which the Company transfers control of a good or service over time and the customer simultaneously receives and consumes the benefits provided by the Company's performance as the Company performs, or the Company's performance creates or enhances an asset the customer controls as the asset is created or enhanced, or the Company's performance does not create an asset with an alternative use to the Company and the Company has an enforceable right to payment for its performance to date plus a reasonable margin.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we estimated that $196,450 in revenue is expected to be recognized in the future related to performance obligations that are unsatisfied (or partially unsatisfied) at the end of the reporting period. We expect to recognize approximately 70.1% of the Company's unsatisfied (or partially unsatisfied) performance obligations as revenue through 2025, with the remaining balance to be recognized in 2026 and thereafter.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applied the standard's practical expedient that permits the omission of unsatisfied performance obligations for (i) contracts with an original expected length of one year or less and (ii) contracts for which the Company recognizes revenue at the amount to which the Company has the right to invoice for services performed.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256,933</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six months ended June 30, 2024 and 2023 that was included in contract liabilities at the beginning of the period amounted to $146,788 and $185,028,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acquired three businesses in separate transactions for total consideration of $174,300, net of cash acquired and inclusive of contingent consideration of $29,428 (a non-cash financing activity). These businesses were acquired to complement and expand upon existing operations within the Clean Energy &amp; Fueling and Imaging &amp; Identification segments. The goodwill recorded as a result of these acquisitions represents the economic benefits expected to be derived from product line expansions and operational synergies and is non-deductible for income tax purposes.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acquired 100% of the equity interests in the Transchem Group ("Transchem"), a supplier of car wash chemicals and associated solutions, for $48,241, net of cash acquired and inclusive of contingent consideration.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$24,439 and intangible assets of $26,308,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2024, the Company acquired 100% of the equity interests in Bulloch Technologies, Inc. ("Bulloch"), a provider of point-of-sale ("POS"), forecourt controller and electronic payment server solutions to the convenience retail industry, for $122,315, net of cash acquired and inclusive of contingent consideration. The acquisition of Bulloch expands the Company's offering in North America with highly complementary POS and forecourt solutions within the Clean Energy &amp; Fueling segment. In connection with this acquisition, the Company recorded goodwill of $74,250 and intangible assets of $62,417, primarily related to customer intangibles.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other immaterial acquisition was completed during the six months ended June 30, 2024, within the Imaging &amp; Identification segment. The acquisition is highly complementary to our existing track and trace solutions business, grows our presence in the European market and adds complementary offerings to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for all 2024 acquisitions,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98,689</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88,725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174,300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all 2024 acquisitions were as follows:</w:t>
            </w: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8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0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70,698</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11 - 13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technology</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6 - 8</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3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during the six months ended June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Dispositions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$674,727. Of the total consideration, $63,000 was received upon finalization of closing activities in India and China, which occurred during the second quarter. This sale resulted in a preliminary pre-tax gain on disposition of $529,280 ($414,451 after-tax) included within the condensed consolidated statements of earnings for the six months ended June 30, 2024. The total consideration and pre-tax gain on disposition are preliminary and subject to standard post-closing adjustments. The sale did not meet the criteria to be classified as a discontinued operation, as it did not represent a strategic shift that will have a major effect on operations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Dispositions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dispositions during the six months ended June 30, 2023.</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696,220</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223,655</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425,561</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1,345,436</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(119,984)</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1,225,452</w:t>
            </w:r>
          </w:p>
        </w:tc>
      </w:tr>
      <w:tr>
        <w:trPr>
          <w:trHeight w:val="20"/>
        </w:trPr>
        <w:tc>
          <w:tcPr>
            <w:tcW w:w="13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77"/>
        </w:trPr>
        <w:tc>
          <w:tcPr>
            <w:tcW w:w="294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66,443</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640,654</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1,944,470</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2,651,567</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(1,619,751)</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1,031,816</w:t>
            </w:r>
          </w:p>
        </w:tc>
      </w:tr>
      <w:tr>
        <w:trPr>
          <w:trHeight w:val="21"/>
        </w:trPr>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totaled $40,123 and $39,840 for the three months ended June 30, 2024 and 2023, respectively. For the six months ended June 30, 2024 and 2023, depreciation expense totaled $79,527 and $77,370,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deducted from accounts receivable that represent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0" w:type="dxa"/>
            <w:vAlign w:val="bottom"/>
          </w:tcPr>
          <w:p>
            <w:pPr>
              <w:spacing w:after="0"/>
              <w:rPr>
                <w:sz w:val="1"/>
                <w:szCs w:val="1"/>
                <w:color w:val="auto"/>
              </w:rPr>
            </w:pPr>
          </w:p>
        </w:tc>
      </w:tr>
      <w:tr>
        <w:trPr>
          <w:trHeight w:val="230"/>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8.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operating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511,473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4,881,687</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511,238</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4,950,930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additions of $98,689 to goodwill as a result of the acquisitions discussed in Note 3 — Acquisitions, and disposed of $58,663 of goodwill that was previously classified as held for sale as of December 31, 2023. See Note 4 — Dispositions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1,048,179</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2,138,788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1,044,735</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127,499</w:t>
            </w: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64,152</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118,050</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1,387,282</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96,631</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1,483,913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amortization expense was $45,546 and $38,951, respectively. For the six months ended June 30, 2024 and 2023, amortization expense was $90,851 and $79,317, respectively. Amortization expense is primarily comprised of acquisition-related intangible amortization.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acquired $88,725 of intangible assets through acquisitions. These assets were classified as customer intangibles, unpatented technologies and trademarks and included in the Clean Energy &amp; Fueling segment. See Note 3 — Acquisitions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Restructuring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15,991</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6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19,720</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restructuring expenses of $9,137 incurred during the three months ended June 30, 2024 were primarily related to exit costs and headcount reductions across all segments. The restructuring expenses of $27,792 incurred during the six months ended June 30, 2024 were primarily related to product line exit costs and headcount reductions in the Climate &amp; Sustainability Technologies and Clean Energy &amp; Fueling segments. These restructuring programs were initiated in 2023 and 2024 and the Company will continue to make proactive adjustments to its cost structure to align with current demand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21,759</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3"/>
              </w:rPr>
              <w:t>(1)</w:t>
            </w:r>
          </w:p>
        </w:tc>
        <w:tc>
          <w:tcPr>
            <w:tcW w:w="300" w:type="dxa"/>
            <w:vAlign w:val="bottom"/>
          </w:tcPr>
          <w:p>
            <w:pPr>
              <w:spacing w:after="0"/>
              <w:rPr>
                <w:sz w:val="19"/>
                <w:szCs w:val="19"/>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27,792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(19,047)</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6"/>
              <w:spacing w:after="0" w:line="230" w:lineRule="exact"/>
              <w:rPr>
                <w:sz w:val="20"/>
                <w:szCs w:val="20"/>
                <w:color w:val="auto"/>
              </w:rPr>
            </w:pPr>
            <w:r>
              <w:rPr>
                <w:rFonts w:ascii="Times New Roman" w:cs="Times New Roman" w:eastAsia="Times New Roman" w:hAnsi="Times New Roman"/>
                <w:sz w:val="18"/>
                <w:szCs w:val="18"/>
                <w:color w:val="auto"/>
              </w:rPr>
              <w:t xml:space="preserve">(14,282)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(14,596)</w:t>
            </w: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15,908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Exit reserves activity includes non-cash asset charges related to a product line exit within the Climate &amp; Sustainability Technologies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10. Borrowings</w:t>
            </w:r>
          </w:p>
        </w:tc>
        <w:tc>
          <w:tcPr>
            <w:tcW w:w="5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7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7"/>
        </w:trPr>
        <w:tc>
          <w:tcPr>
            <w:tcW w:w="118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2"/>
                <w:szCs w:val="22"/>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467,600</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468,282</w:t>
            </w:r>
          </w:p>
        </w:tc>
      </w:tr>
      <w:tr>
        <w:trPr>
          <w:trHeight w:val="21"/>
        </w:trPr>
        <w:tc>
          <w:tcPr>
            <w:tcW w:w="11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commercial paper borrowings decreased $257,800. The borrowings outstanding under the commercial paper program had a weighted average annual interest rate of 5.45% and 5.51% as of June 30, 2024 and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700" w:type="dxa"/>
            <w:vAlign w:val="bottom"/>
            <w:gridSpan w:val="3"/>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10-year notes due November 15,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398,737</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10-year notes due November 9, 2026 (euro-denominated)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657,628</w:t>
            </w:r>
          </w:p>
        </w:tc>
        <w:tc>
          <w:tcPr>
            <w:tcW w:w="0" w:type="dxa"/>
            <w:vAlign w:val="bottom"/>
          </w:tcPr>
          <w:p>
            <w:pPr>
              <w:spacing w:after="0"/>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8-year notes due November 4, 2027 (euro-denominated)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547,342</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6.65%</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30-year debentures due June 1, 2028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199,557</w:t>
            </w:r>
          </w:p>
        </w:tc>
        <w:tc>
          <w:tcPr>
            <w:tcW w:w="0" w:type="dxa"/>
            <w:vAlign w:val="bottom"/>
          </w:tcPr>
          <w:p>
            <w:pPr>
              <w:spacing w:after="0"/>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10-year notes due November 4, 2029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297,787</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30-year debentures due October 15, 2035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297,058</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30-year notes due March 15, 2038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248,392</w:t>
            </w:r>
          </w:p>
        </w:tc>
        <w:tc>
          <w:tcPr>
            <w:tcW w:w="0" w:type="dxa"/>
            <w:vAlign w:val="bottom"/>
          </w:tcPr>
          <w:p>
            <w:pPr>
              <w:spacing w:after="0"/>
              <w:rPr>
                <w:sz w:val="1"/>
                <w:szCs w:val="1"/>
                <w:color w:val="auto"/>
              </w:rPr>
            </w:pPr>
          </w:p>
        </w:tc>
      </w:tr>
      <w:tr>
        <w:trPr>
          <w:trHeight w:val="23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30-year notes due March 1, 2041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345,258</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6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2,991,759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8"/>
        <w:spacing w:after="0"/>
        <w:tabs>
          <w:tab w:leader="none" w:pos="185"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is net of unamortized debt discount and deferred debt issuance costs. Total unamortized debt discounts were $9.9 million and $10.9 million as of June 30, 2024 and December 31, 2023, respectively. Total deferred debt issuance costs were $8.0 million and $8.9 million as of June 30, 2024 and December 31, 2023, respectively.</w:t>
      </w:r>
    </w:p>
    <w:p>
      <w:pPr>
        <w:spacing w:after="0" w:line="200" w:lineRule="exact"/>
        <w:rPr>
          <w:sz w:val="20"/>
          <w:szCs w:val="20"/>
          <w:color w:val="auto"/>
        </w:rPr>
      </w:pP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2023, the Company entered into a $1.0 billion five-year unsecured revolving credit facility and on April 4, 2024, the Company entered into a new $500.0 million 364-day unsecured revolving credit facility (together, the "Credit Agreements") with a syndicate of banks. The new 364-day credit facility replaced the existing $500.0 million 364-day credit facility, which expired on April 4, 2024. The lenders' commitments under the five-year and 364-day Credit Agreements will terminate and any outstanding loans under the Credit Agreements will mature on April 6, 2028 and April 3, 2025, respectively. The Company may elect to extend the maturity date of any loans under the new 364-day credit facility until April 3, 2026,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June 30, 2024 and December 31, 2023, there were no outstanding borrowings under the five-year, current or previous 364-day credit facilities.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June 30, 2024 and had an interest coverage ratio of consolidated EBITDA to consolidated net interest expense of 20.1 to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other Guarantees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approximately $155.0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3" w:lineRule="exact"/>
        <w:rPr>
          <w:sz w:val="20"/>
          <w:szCs w:val="20"/>
          <w:color w:val="auto"/>
        </w:rPr>
      </w:pPr>
    </w:p>
    <w:p>
      <w:pPr>
        <w:ind w:right="9260" w:firstLine="8"/>
        <w:spacing w:after="0" w:line="534" w:lineRule="auto"/>
        <w:tabs>
          <w:tab w:leader="none" w:pos="260"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Financial Instruments </w:t>
      </w:r>
      <w:r>
        <w:rPr>
          <w:rFonts w:ascii="Times New Roman" w:cs="Times New Roman" w:eastAsia="Times New Roman" w:hAnsi="Times New Roman"/>
          <w:sz w:val="18"/>
          <w:szCs w:val="18"/>
          <w:b w:val="1"/>
          <w:bCs w:val="1"/>
          <w:color w:val="auto"/>
        </w:rPr>
        <w:t>Derivatives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June 30, 2024 and December 31, 2023, the Company had contracts with total notional amounts of $150,711 and $171,425, respectively, to exchange currencies, principally euro, pound sterling, Swedish krona, Canadian dollar, Chinese yuan, and Swiss franc. The Company believes it is probable that all forecasted cash flow transactions will occur.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$95,960 and $84,867 as of June 30, 2024 and December 31, 2023,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June 30, 2024 and December 31, 2023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(loss) of the condensed consolidated statements of comprehensive earnings to offset changes in the value of the net investment in euro-denominated operations. Changes in the value of the euro-denominated debt resulting from exchange rate differences are offset by changes in the net investment due to the high degree of effectiveness between the hedging instruments and the exposure being hedged.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3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euro-denominated debt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32,755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(3,074)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net investment hedges, net of tax</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June 30, 2024 and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15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15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June 30, 2024 and December 31, 2023, was $2,881,127 and $2,950,401,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short-term borrowings approximate their fair values as of June 30, 2024 and December 31, 2023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2024 and 2023 were 20.2% and 19.3%, respectively. The increase in the effective tax rate for the three months ended June 30, 2024 relative to the prior year comparable period was primarily driven by favorable audit resolutions in the prior year.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2024 and 2023 were 20.7% and 19.7%, respectively. The 20.7% in the effective tax rate for the six months ended June 30, 2024 relative to the prior year comparable period was primarily driven by the gain on the sale of De-Sta-Co.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$4,438.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six months ended June 30, 2024, the Company issued stock-settled appreciation rights ("SARs") covering 352,460 shares, performance share awards ("PSAs") of 42,876 and restricted stock units ("RSUs") of 81,883. During the six months ended June 30, 2023, the Company issued SARs covering 359,715 shares, PSAs of 43,656 and RSUs of 82,055.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PSAs granted in 2024 vest based on the attainment of two equally weighted measures: (i) Dover’s performance relative to established internal metrics (performance condition) and (ii) Dover's performance relative to its peer group (companies listed under the S&amp;P 500 Industrials sector; market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fair value per share at the date of grant for the 2024 performance condition portion is $177.19.</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grant date fair value of the 2024 market condition portion, and all 2023 PSAs,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and vesting periods for all 2024 and 2023 PSAs is three years.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$160.11 and $153.25 for RSUs granted in 2024 and 2023, respectively.</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33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18,723</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(2,520)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(1,951)</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16,772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June 30, 2024 and December 31, 2023, these estimated liabilities for environmental and other matters, including private party claims for exposure to hazardous substances that are probable and estimable, were not significant.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 The Company has estimated liabilities for these other legal</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matters that are probable and estimable, and at June 30, 2024 and December 31, 2023, these estimated liabilities were immaterial.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June 30, 2024 and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during the three and six months ended June 30, 2024 and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3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foreign currency translation losses to</w:t>
            </w: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reclassified into earnings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and credits in other income, net within the condensed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waste handling,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and parts for the commercial refrigeration, heating and cooling and beverage can-making equipment end-markets.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loss (gain) on disposition, disposition costs,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971,236</w:t>
            </w:r>
          </w:p>
        </w:tc>
      </w:tr>
      <w:tr>
        <w:trPr>
          <w:trHeight w:val="229"/>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871,895</w:t>
            </w:r>
          </w:p>
        </w:tc>
      </w:tr>
      <w:tr>
        <w:trPr>
          <w:trHeight w:val="230"/>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555,023</w:t>
            </w:r>
          </w:p>
        </w:tc>
      </w:tr>
      <w:tr>
        <w:trPr>
          <w:trHeight w:val="229"/>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879,507</w:t>
            </w:r>
          </w:p>
        </w:tc>
      </w:tr>
      <w:tr>
        <w:trPr>
          <w:trHeight w:val="229"/>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904,326</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2,178,262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4,179,109</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157,351</w:t>
            </w:r>
          </w:p>
        </w:tc>
      </w:tr>
      <w:tr>
        <w:trPr>
          <w:trHeight w:val="230"/>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157,221</w:t>
            </w:r>
          </w:p>
        </w:tc>
      </w:tr>
      <w:tr>
        <w:trPr>
          <w:trHeight w:val="229"/>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129,651</w:t>
            </w:r>
          </w:p>
        </w:tc>
      </w:tr>
      <w:tr>
        <w:trPr>
          <w:trHeight w:val="229"/>
        </w:trPr>
        <w:tc>
          <w:tcPr>
            <w:tcW w:w="4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244,581</w:t>
            </w:r>
          </w:p>
        </w:tc>
      </w:tr>
      <w:tr>
        <w:trPr>
          <w:trHeight w:val="230"/>
        </w:trPr>
        <w:tc>
          <w:tcPr>
            <w:tcW w:w="4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149,852</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838,656</w:t>
            </w: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82,879</w:t>
            </w:r>
          </w:p>
        </w:tc>
      </w:tr>
      <w:tr>
        <w:trPr>
          <w:trHeight w:val="229"/>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w:t>
            </w: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(gain) on disposition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73,994</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68,018</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586,313</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115,500</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acquired intangible assets.</w:t>
      </w:r>
    </w:p>
    <w:p>
      <w:pPr>
        <w:ind w:left="340" w:hanging="8"/>
        <w:spacing w:after="0" w:line="215" w:lineRule="auto"/>
        <w:tabs>
          <w:tab w:leader="none" w:pos="515"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80" w:type="dxa"/>
            <w:vAlign w:val="bottom"/>
            <w:gridSpan w:val="4"/>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(gain) on disposition due to the sale of De-Sta-Co in the Engineered Products segment.</w:t>
      </w:r>
    </w:p>
    <w:p>
      <w:pPr>
        <w:spacing w:after="0" w:line="10" w:lineRule="exact"/>
        <w:rPr>
          <w:rFonts w:ascii="Times New Roman" w:cs="Times New Roman" w:eastAsia="Times New Roman" w:hAnsi="Times New Roman"/>
          <w:sz w:val="21"/>
          <w:szCs w:val="21"/>
          <w:color w:val="auto"/>
          <w:vertAlign w:val="superscript"/>
        </w:rPr>
      </w:pPr>
    </w:p>
    <w:p>
      <w:pPr>
        <w:jc w:val="both"/>
        <w:ind w:left="340" w:right="20" w:hanging="8"/>
        <w:spacing w:after="0" w:line="245" w:lineRule="auto"/>
        <w:tabs>
          <w:tab w:leader="none" w:pos="489"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 related expenses and various administrative expenses relating to the corporate headquarters.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2,333,346</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879,148</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445,655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340,758</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180,202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2,178,262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4,179,109</w:t>
            </w:r>
          </w:p>
        </w:tc>
      </w:tr>
      <w:tr>
        <w:trPr>
          <w:trHeight w:val="21"/>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$500,000 accelerated share repurchase agreement (the "ASR Agreement") with Citibank, N.A. ("Citibank") to repurchase its shares in an accelerated share repurchase program (the "ASR Program"). The ASR Program is classified as equity, initially recorded at fair value with no subsequent remeasurement. The Company conducted the ASR Program under the current share repurchase authorization. The Company funded the ASR Program with proceeds from commercial paper.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ASR Agreement, the Company paid Citibank $500,000 on March 1, 2024 and on that date received initial delivery of 2,569,839 shares, representing a substantial majority of the shares expected to be retired over the course of the ASR Agreement. The total number of shares ultimately repurchased under the ASR Agreement will be based on the daily volume-weighted average share price of Dover's common stock during the calculation period of the ASR Program, less a discount. The ASR Program is scheduled to be completed in the third quarter of 2024, subject to postponement or acceleration under the terms of the ASR Agreement. The impact of any shares that may be received at the completion of the ASR Program is anti-dilutive and therefore excluded from the calculation of diluted earnings per share. The actual number of shares repurchased will be determined at the completion of the ASR Program.</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2024 and 2023, exclusive of the ASR Program, there were no share repurchases. As of June 30, 2024, 17,430,161 shares remain authorized for repurchase under the August 2023 share repurchase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914,043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139,862,000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138,247,000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139,810,000</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138,404,000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139,136,000</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140,597,000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3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139,862,000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138,247,000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139,810,000</w:t>
            </w:r>
          </w:p>
        </w:tc>
      </w:tr>
      <w:tr>
        <w:trPr>
          <w:trHeight w:val="41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961,000</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787,000</w:t>
            </w:r>
          </w:p>
        </w:tc>
      </w:tr>
      <w:tr>
        <w:trPr>
          <w:trHeight w:val="22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138,404,000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140,578,000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139,136,000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140,597,000</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-607695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540"/>
            <w:col w:w="6420"/>
          </w:cols>
          <w:pgMar w:left="320" w:top="126" w:right="339" w:bottom="1440" w:gutter="0" w:footer="0" w:header="0"/>
          <w:type w:val="continuous"/>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37,000 and 34,000 for the three months ended June 30, 2024 and 2023, respectively, and 72,000 and 61,000 for the six months ended June 30, 2024 and 2023, respectively.</w:t>
      </w:r>
    </w:p>
    <w:p>
      <w:pPr>
        <w:spacing w:after="0" w:line="185" w:lineRule="exact"/>
        <w:rPr>
          <w:sz w:val="20"/>
          <w:szCs w:val="20"/>
          <w:color w:val="auto"/>
        </w:rPr>
      </w:pPr>
    </w:p>
    <w:p>
      <w:pPr>
        <w:ind w:right="8180" w:firstLine="8"/>
        <w:spacing w:after="0" w:line="526" w:lineRule="auto"/>
        <w:tabs>
          <w:tab w:leader="none" w:pos="270" w:val="left"/>
        </w:tabs>
        <w:numPr>
          <w:ilvl w:val="0"/>
          <w:numId w:val="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Recent Accounting Pronouncements </w:t>
      </w:r>
      <w:r>
        <w:rPr>
          <w:rFonts w:ascii="Times New Roman" w:cs="Times New Roman" w:eastAsia="Times New Roman" w:hAnsi="Times New Roman"/>
          <w:sz w:val="18"/>
          <w:szCs w:val="18"/>
          <w:b w:val="1"/>
          <w:bCs w:val="1"/>
          <w:color w:val="auto"/>
        </w:rPr>
        <w:t>Recently Issued Accounting Standards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Early adoption is permitted. The Company is currently evaluating this ASU to determine its impact on the Company's disclosures.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amendments are effective for fiscal years beginning after December 15, 2023, and for interim periods within fiscal years beginning after December 15, 2024. Early adoption is permitted. The Company is currently evaluating this ASU to determine its impact on the Company's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was adopted when it became effective January 1, 2024. The adoption did not have a material impact on the Company's condensed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facilitates the opportunity for suppliers to participate in a voluntary supply chain financing ("SCF") program with a third-party financial institution. Participating suppliers are paid directly by the SCF financial institution and, in addition, may elect to sell receivables due from the Company to the SCF financial institution for early payment. Thus, participating suppliers have additional potential flexibility in managing their liquidity by accelerating, at their option and cost, collection of receivables due from the Company.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suppliers agree on commercial terms, including payment terms, for the goods and services the Company procures, regardless of whether the supplier participates in SCF. For participating suppliers, the Company’s responsibility is limited to making all payments to the SCF financial institution on the terms originally negotiated with the supplier, irrespective of whether the supplier elects to sell receivables to the SCF financial institution. The Company does not determine the terms or conditions of the arrangement between the SCF financial institution and the Company's suppliers. The SCF financial institution pays the supplier on the invoice due date for any invoices that were not previously sold by the supplier. The agreement between the Company and the SCF financial institution does not require the Company to provide assets pledged as security or other forms of guarantees.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payments related to the SCF program are recorded within accounts payable in our condensed consolidated balance sheets. As of the June 30, 2024 and December 31, 2023 amounts due to the SCF financial institution were approximately $174,382 and $193,600,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 Subsequent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2024, the Company completed the acquisition of Demaco Holland B.V. ("Demaco"), a provider of critical flow control components for cryogenic applications used in a wide range of end markets, for approximately $41.0 million, subject to post-closing adjustments, plus potential contingent consideration of up to approximately $14.0 million. Demaco will be included in the Clean Energy &amp; Fueling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19, 2024, the Company completed the acquisition of Marshall Excelsior Company ("MEC"), a supplier of highly-engineered flow control components for transportation, storage, and use of liquefied petroleum gas and other industrial gases, for approximately $395.0 million, subject to post-closing adjustments. MEC will be included in the Clean Energy &amp; Fueling segment.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initial accounting for the MEC and Demaco acquisitions is incomplete as a result of the timing of the acquisitions. Accordingly, it is impracticable for us to make certain business combination disclosures such as the estimated fair values of assets and liabilities acquired and the amount of goodwill.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21, 2024, the Company entered into a definitive agreement to sell Environmental Solutions Group, an operating company within the Engineered Products segment, for approximately $2.0 billion on a cash-free and debt-free basis, subject to customary post-closing adjustments. The transaction is expected to close before year-end 2024, subject to customary closing conditions, including receipt of regulatory approvals.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waste handling,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and parts for the commercial refrigeration, heating and cooling and beverage can-making equipment end-markets.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2024, revenue was $2.2 billion, which increased $0.1 billion, or 3.7%, as compared to the second quarter of 2023. This was driven by organic revenue growth of 4.8% and acquisition-related revenue growth of 2.1%, partially offset by disposition-related decline of 2.6% and an unfavorable impact from foreign currency translation of 0.6%. Strong results were driven by excellent production performance and strong shipment rates on robust orders received.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4.8% organic revenue growth for the second quarter of 2024 was driven by our Engineered Products, Imaging &amp; Identification and Clean Energy &amp; Fueling segments which grew 20.2%, 6.9%, and 2.3%, respectively. The growth was partially offset by the Pumps &amp; Process Solutions and Climate &amp; Sustainability Technologies segments which declined 3.1% and 2.3%, respectively. For further information, see "Segment Results of Operations" within this Item 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11.4% in the second quarter of 2024 compared to the prior year comparable quarter driven by strong demand in our waste handling business and retail and refrigeration equipment and services. Organic revenue increased for Other Americas by 17.6%, and decreased for Asia and Europe by 8.5% and 3.8%,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were $2.2 billion for the three months ended June 30, 2024, an increase of $0.3 billion, or 15.0% compared to the prior year comparable quarter. Included in this result was organic growth of 16.1% and acquisition-related growth of 2.1%, partially offset by disposition-related decline of 2.7% and an unfavorable impact from foreign currency translation of 0.5%. The organic bookings growth was primarily driven by positive demand trends and order timing.</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Restructuring and other costs for the three months ended June 30, 2024 were $11.6 million which included restructuring charges of $9.1 million and other costs of $2.5 million. Restructuring and other costs were generally related to exit costs and headcount reductions across all segments. For further discussion related to our restructuring and other costs, see "Restructuring and Other Costs (Benefits)," within this Item 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the Company completed two business acquisitions for approximately $436.0 million, subject to post-closing adjustments, plus potential contingent consideration of up to approximately $14.0 million. In addition, the Company entered into a definitive agreement to sell Environmental Solutions Group ("ESG"), for approximately $2.0 billion on a cash-free and debt-free basis, subject to customary post-closing adjustments. The transaction is expected to close before year-end 2024, subject to customary closing conditions, including receipt of regulatory approvals. See Note 20 — Subsequent Events in the condensed consolidated financial statements in Item 1 of this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3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4"/>
                <w:szCs w:val="24"/>
                <w:color w:val="auto"/>
              </w:rPr>
            </w:pPr>
          </w:p>
        </w:tc>
        <w:tc>
          <w:tcPr>
            <w:tcW w:w="284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figures)</w:t>
            </w:r>
          </w:p>
        </w:tc>
        <w:tc>
          <w:tcPr>
            <w:tcW w:w="28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2,178,262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2,100,086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4,272,203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4,179,109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1,356,695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1,341,250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2,693,381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2,673,254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821,567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758,836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1,505,855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36.1 %</w:t>
            </w: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1.0</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452,193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434,340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915,317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866,754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175"/>
        </w:trPr>
        <w:tc>
          <w:tcPr>
            <w:tcW w:w="2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28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2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21.4 %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0.7</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 as a percent of revenue</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CCEEFF"/>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369,374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324,496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639,101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(2,653)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disposition</w:t>
            </w:r>
          </w:p>
        </w:tc>
        <w:tc>
          <w:tcPr>
            <w:tcW w:w="28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(529,280)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spacing w:after="0"/>
              <w:rPr>
                <w:sz w:val="21"/>
                <w:szCs w:val="21"/>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353,289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1,152,171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106.2 %</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128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1.0</w:t>
            </w: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281,822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242,239</w:t>
            </w:r>
          </w:p>
        </w:tc>
        <w:tc>
          <w:tcPr>
            <w:tcW w:w="1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914,043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470,813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94.1 %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earnings per common share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June 30, 2024 increased $0.1 billion, or 3.7%, from the prior year comparable quarter. The increase in revenue was driven by organic revenue growth of 4.8% and acquisition-related growth of 2.1%, partially offset by disposition-related decline of 2.6% and an unfavorable impact from foreign currency translation of 0.6%. Customer pricing favorably impacted revenue by approximately 2.0% in the second quarter of 2024 and by 4.5% in the prior year comparable quarter.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six months ended June 30, 2024 increased $0.1 billion, or 2.2%, from the prior year comparable period. The increase primarily reflects an acquisition-related growth of 2.1% and organic revenue growth of 1.8%. This growth was partially offset by a disposition-related decline of 1.3% and an unfavorable impact from foreign currency translation of 0.4%. Customer pricing favorably impacted revenue by approximately 1.8% for the six months ended June 30, 2024, and by 4.8% in the prior year comparable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June 30, 2024 increased $62.7 million, or 8.3%, and gross profit margin increased 160 basis points to 37.7%, versus the prior year comparable quarter. Gross profit margin increased driven by volume leverage and mix, pricing and productivity 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six months ended June 30, 2024 increased $73.0 million, or 4.8%, and gross profit margin increased by 100 basis points to 37.0%, from the prior year comparable period. Gross profit margin increased driven by pricing and productivity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2024 increased $17.9 million, or 4.1%, from the prior year comparable quarter, primarily driven by increased employee compensation and benefits and acquisition-related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costs. As a percentage of revenue, selling, general and administrative expenses increased 10 basis points as compared to the prior year comparable quarter to 20.8%.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2024 increased $48.6 million, or 5.6%, from the prior year comparable period, primarily driven by increased employee compensation and benefits and acquisition-related amortization costs, partially offset by lower restructuring costs. Selling, general and administrative expenses as a percentage of revenue increased 70 basis points as compared to the prior year comparable period to 21.4% driven by a higher rate of increase in selling, general and administrative expenses compared to revenue.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$40.6 million and $39.3 million for the three months ended June 30, 2024 and 2023, respectively, and $80.6 million and $77.3 million, for the six months ended June 30, 2024 and 2023, respectively. The costs as a percentage of revenue are 1.9% for the three and six months ended June 30,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disposition of $529.3 million for the six months ended June 30, 2024 was due to the sale of the De-Sta-Co business on March 31, 2024 and includes net post-closing adjustments of $0.7 million recorded during the three months ended June 30, 2024. See Note 4 — Dispositions in the condensed consolidated financial statements in Item 1 of this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includes non-service pension benefit, deferred compensation plan investments gain or loss, earnings or charges from equity method investments, foreign exchange gain or loss, and various other items. Other income, net for the three and six months ended June 30, 2024 increased $6.2 million and increased $8.8 million, respectively, from the comparable prior period driven by various immaterial items.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2024 and 2023 were 20.2% and 19.3%, respectively. The increase in the effective tax rate for the three months ended June 30, 2024 relative to the prior year comparable quarter was primarily driven by favorable audit resolutions in the prior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2024 and 2023 were 20.7% and 19.7%, respectively. The increase in the effective tax rate for the six months ended June 30, 2024 relative to the prior year comparable period was primarily driven by the gain on the sale of De-Sta-Co.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monitoring the changes in tax laws resulting from the Organization for Economic Cooperation and Development’s multi-jurisdictional plan of action to address base erosion and profit shifting. We do not expect this to have a material impact on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Income Taxes in the condensed consolidated financial statements in Item 1 of this Form 10-Q for additional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earnings for the three months ended June 30, 2024 increased 16.3% to $281.8 million, or $2.04 diluted earnings per share, from $242.2 million, or $1.72 diluted earnings per share, in the prior year comparable quarter. The increase in net earnings is driven by increased revenue primarily driven by pricing initiatives and increased demand, partially offset by a higher provision for income taxes.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earnings for the six months ended June 30, 2024 increased 94.1% to $914.0 million, or $6.57 diluted earnings per share, from $470.8 million, or $3.35 diluted earnings per share, in the prior year comparable period. The increase in net earnings is driven by the after-tax gain on the sale of De-Sta-Co of $414.5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organic revenue growth, which excludes the impact of foreign currency exchange rates and the impact of acquisitions and divestitures. See "Non-GAAP Disclosures" at the end of this Item 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89"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bookings represent bookings excluding the impact of foreign currency exchange rates and the impact of acquisitions and dispositions. This metric is an important measure of performance and an indicator of revenue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waste handling, aerospace and defense, industrial winch and hoist,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489,131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1,025,603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3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the Second Quarter 2023</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second quarter of 2024 increased $41.2 million, or 8.7%, as compared to the second quarter of 2023, driven by organic growth of 20.2%, partially offset by a disposition-related decline of 11.3% and an unfavorable impact from foreign currency translation of 0.2%. The disposition-related decline was due to the divestiture of De-Sta-Co in the first quarter of 2024. Customer pricing favorably impacted revenue by approximately 2.1% in the second quarter of 2024 and in the prior year comparable quarter.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organic revenue growth was primarily driven by continued robust demand in our waste handling business as national and regional waste haulers continue to upgrade their refuse collection vehicle fleets and implement our leading digital technologies to drive efficiencies in waste collection. We also saw increased revenue in our vehicle service business driven by increasing demand in Europe and improved production performance, along with continued solid demand trends in our aerospace and defense business. We expect positive organic growth trends to continue in the second half of 2024 on the back of robust customer demand in waste handling, growth in aerospace and defense, and improving demand conditions and production performance in our vehicle service business.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Engineered Products segment earnings increased $28.2 million, or 38.6%, compared to the second quarter of 2023. The increase was primarily driven by organic volume increases, favorable price versus cost dynamics, and productivity initiatives, partially offset by disposition impacts. As a result, segment margin increased to 19.7% from 15.4% as compared to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increased 18.9% for the segment, driven by organic growth of 29.3%, partially offset by a disposition-related decline of 10.3% and an unfavorable impact from foreign currency translation of 0.1%. The organic bookings growth was broad-based, but most notable in our waste handling, vehicle service, and aerospace and defense businesses. Segment book-to-bill was 1.13.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Engineered Products revenue for the six months ended June 30, 2024 increased $86.7 million, or 8.9%, compared to the prior year comparable period. This was comprised of organic revenue growth of 14.6%, a disposition-related decline of 5.5% and an unfavorable impact from foreign currency translation of 0.2%. The organic revenue growth was driven by robust demand in our waste handling business, improved production performance and increased demand in our vehicle service business and solid demand trends in our aerospace and defense business. Customer pricing favorably impacted revenue by approximately 1.8% and by 3.0% in the prior year comparable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earnings for the six months ended June 30, 2024 increased $47.9 million, or 30.4%, as compared to the 2023 comparable period. The increase was primarily driven by organic volume increases, favorable price versus cost dynamics, and productivity initiatives, partially offset by disposition impacts and an unfavorable impact from foreign currency translation. Segment margin increased to 19.4% from 16.2%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871,895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913,696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
        </w:trPr>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the Second Quarter 2023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revenue for the second quarter of 2024 increased $21.8 million, or 5.0%, as compared to the second quarter of 2023, driven by acquisition-related growth of 3.0%, organic growth of 2.3% and an unfavorable foreign currency translation of 0.3%. Customer pricing favorably impacted revenue in the second quarter of 2024 by approximately 3.2% and by 4.8%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initiatives, clean energy solutions, and strong demand in North America and Latin America above ground retail fueling equipment, partially offset by volume headwinds in the fluid transfer solutions business. We expect continued organic growth in the second half of the year driven by strong demand in North America above ground retail fueling equipment and the clean energy solutions business.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Clean Energy &amp; Fueling segment earnings increased $3.9 million, or 4.7%, over the prior year comparable quarter. The increase was primarily driven by strategic pricing and cost actions, partially offset by inflationary impacts. Segment margin remained flat compared to prior year comparable quarter.</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bookings increased 0.4% as compared to the prior year comparable quarter, driven by acquisition growth of 2.4%, partially offset by an organic decline of 1.6% and an unfavorable impact from foreign currency translation of 0.4%. The organic bookings decline was primarily due to order timing in above ground retail fueling equipment and fluid transfer solutions. Segment book-to-bill was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Clean Energy &amp; Fueling segment revenue increased $36.2 million, or 4.1%, as compared to the six months ended June 30, 2023, attributable to acquisition-related growth of 2.4% and organic growth of 1.9%, partially offset by an unfavorable impact from foreign currency translation of 0.2%. Organic revenue was higher in the first six months of the year compared with the prior year comparable period, driven by pricing actions and above ground retail fueling equipment, partially offset by lower volume in fluid transfer solutions and below ground retail fueling businesses. Customer pricing favorably impacted revenue by approximately 3.0% and by approximately 4.7% in the prior year comparable period.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Clean Energy &amp; Fueling segment earnings remained flat, for the six months ended June 30, 2024. Pricing actions and productivity initiatives were offset by lower volume and inflationary costs. Segment margin decreased to 17.3% from 18.0% in the prior year comparable period, mainly due to revenue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262,092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the Second Quarter 2023</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revenue for the second quarter of 2024 increased $15.7 million, or 5.8%, as compared to the second quarter of 2023, comprised of organic growth of 6.9% and acquisition-related growth of 0.7%, partially offset by an unfavorable impact from foreign currency translation of 1.8%. Customer pricing favorably impacted revenue in the second quarter of 2024 by approximately 2.8% and by approximately 6.0% in the prior year comparable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serialization software, and strong consumables and aftermarket sales. We expect continued favorable organic growth in the second half of the year driven by pricing and increased demand for marking and coding equipment, particularly in the United States and Latin America.</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$14.5 million, or 23.6%, over the prior year comparable quarter. This increase was primarily driven by pricing initiatives, higher volume and cost controls, partially offset by an unfavorable impact from foreign currency translation. Segment margin increased to 26.4% from 22.6% in the prior year comparable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bookings increased 10.1% as compared to the prior year comparable quarter, reflecting organic growth of 11.1% and acquisition-related growth of 1.0%, partially offset by an unfavorable impact from foreign currency translation of 2.0%. The organic bookings growth was primarily driven by order intake and timing in marking and coding and digital textile printing businesses. Segment book-to-bill was 1.00.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Imaging &amp; Identification segment revenue increased $9.4 million, or 1.7%, as compared to the six months ended June 30, 2023, attributable to organic growth of 2.6% and acquisition-related growth of 0.5%, partially offset by an unfavorable impact from foreign currency translation of 1.4%. The organic revenue growth was primarily driven by pricing initiatives, partially offset by weaker demand in our digital textile printing business. Customer pricing favorably impacted revenue by approximately 3.2% and by approximately 6.4%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$16.1 million, or 12.4%, for the six months ended June 30, 2024 over the prior year comparable period. The increase was primarily driven by pricing initiatives and cost controls, partially offset by the unfavorable impact of foreign currency translation. Segment margin increased to 25.8% from 23.4% in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serving single-use biopharmaceutical production, diversified industrial manufacturing applications, chemical production, plastics and polymer processing, midstream and downstream oil and gas, clean energy markets, thermal management, food and beverage, semiconductor production and medical applications and other end-markets.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the Second Quarter 2023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revenue for the second quarter of 2024 increased $11.6 million, or 2.5%, as compared to the second quarter of 2023, driven by acquisition-related growth of 6.0%, partially offset by organic decline of 3.1% and an unfavorable impact from foreign currency translation of 0.4%. Acquisition-related growth was driven by the acquisition of FW Murphy Production Controls business ("FW Murphy") in the fourth quarter of 2023. Customer pricing favorably impacted revenue in the second quarter of 2024 by approximately 1.8% and by approximately 5.1% in the prior year comparable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revenue decline was primarily due to decreased revenue in our plastics and polymer processing solutions business, partially offset by increased revenue in our precision components business and increased demand for connectors used in bioprocessing and high performance computing and data center applications. We expect overall revenue to trend favorably in the second half of the year driven by the FW Murphy acquisition, positive demand trends in bioprocessing and recent specification wins for thermal connectors in liquid cooling for high performance computing and data center applications. We expect this to be partially offset by slower expected demand in our polymer processing equipment business.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Pumps &amp; Process Solutions segment earnings increased $7.9 million, or 6.1%, over the prior year comparable quarter. The increase was driven by the favorable impact from the FW Murphy acquisition, along with the positive impact of pricing</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initiatives and productivity actions, partially offset by a negative impact from lower volume. Segment margin increased to 28.8% from 27.8% from the prior year comparable quarter driven by productivity initiatives and favorable portfolio mix.</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bookings increased 17.0% as compared to the prior year comparable quarter with organic growth of 10.5% and acquisition-related growth of 6.9%, partially offset by an unfavorable impact from foreign currency translation of 0.4%. The organic bookings growth was primarily driven by positive demand trends in connectors, supported by improving customer sentiment in bioprocessing along with recent specification wins in high performance computing applications. Segment book-to-bill was 0.97.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segment revenue increased $63.5 million, or 7.2%, as compared to the six months ended June 30, 2023, attributable to acquisition-related growth of 6.7% for the acquisition of FW Murphy and organic growth of 0.5%. The organic growth was primarily driven by pricing initiatives, increased revenue in precision components and single-use components used in biopharmaceutical manufacturing, partially offset by our polymer processing equipment business. Customer pricing favorably impacted revenue by approximately 1.6% and by approximately 5.0% in the prior year comparable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$11.4 million, or 4.6%, for the six months ended June 30, 2024 over the prior year comparable period. The increase was driven by the favorable impact from the FW Murphy acquisition, pricing initiatives and productivity, partially offset by lower volume. Segment margin decreased to 27.1% from 27.8% from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and parts for the commercial refrigeration, heating and cooling and beverage can-making equipment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the Second Quarter 2023</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&amp; Sustainability Technologies revenue decreased $12.3 million, or 2.7%, as compared to the second quarter of 2023, reflecting organic revenue decline of 2.3% and an unfavorable impact from foreign currency translation of 0.8%, partially offset by acquisition-related growth of 0.4%. Customer pricing favorably impacted revenue in the second quarter of 2024 by approximately 0.3% and by approximately 5.3% in the prior year comparable quarter.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revenue decline was primarily due to near-term, transient slowing in heat exchanger demand in Europe due to HVAC OEMs efforts to reduce component inventories, as well as continued headwinds in new beverage can-making equipment sales as customers pivot from new equipment investment to scaling production and expanding utilization of recent capacity additions. This was partially offset by increased demand for retail refrigeration equipment and services, including the growing</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low-global warming potential ("GWP")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We expect organic revenue declines to continue into the second half of the year as continued growth in demand for retail refrigeration equipment is more than offset by year-over-year reductions in sales of beverage can-making equipment and heat exchangers in Europe. Despite continued year-over-year headwinds, we do expect demand in heat exchangers to improve sequentially from the first half of 2024 to the second half of 2024.</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$3.1 million, or 4.0%, as compared to the second quarter of 2023. The segment earnings increase was primarily driven by favorable retail refrigeration mix, productivity and cost actions, partially offset by the negative impact from lower volumes in heat exchangers and beverage can-making equipment, as well as the unfavorable impact from foreign currency translation. Segment margin increased to 18.1% from 16.9% in the prior year comparable quarter.</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Bookings in the second quarter of 2024 increased 30.7% from the prior year comparable quarter, reflecting organic growth of 31.6% and acquisition-related growth of 0.1%, partially offset by an unfavorable impact from foreign currency translation of 1.0%. The organic bookings growth was principally driven by favorable demand trends across retail refrigeration, including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This was partially offset by temporary reductions in heat exchanger demand in Europe. Segment book-to-bill was 0.93.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Climate &amp; Sustainability Technologies segment revenue decreased $103.3 million, or 11.4%, compared to the six months ended June 30, 2023, reflecting an organic revenue decline of 11.4%, and an unfavorable foreign currency translation impact of 0.5%, partially offset by an acquisition-related growth of 0.5%. The organic revenue decline for the six months ended June 30, 2024 was due to near-term, transient slowing in heat exchanger demand in Europe due to HVAC OEMs efforts to reduce component inventories, as well as continued headwinds in new beverage can-making equipment sales as customers pivot from new equipment investment to scaling production and expanding utilization of recent capacity additions. This was partially offset by increased demand for retail refrigeration equipment and services, including the growing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Customer pricing unfavorably impacted revenue by approximately 0.2% and favorably impacted revenue by 5.6% in the prior year comparable period.</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&amp; Sustainability Technologies segment earnings decreased $20.0 million, or 13.3%, for the six months ended June 30, 2024, as compared to the prior year comparable period. Segment margin decreased to 16.2% from 16.6% in the prior year comparable period. The earnings decrease was due to lower volumes in heat exchangers and beverage can-making equipment, partially offset by increased retail refrigeration volumes, productivity initiatives and cost reduction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Net Earnings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1"/>
                <w:szCs w:val="21"/>
                <w:color w:val="auto"/>
              </w:rPr>
            </w:pPr>
          </w:p>
        </w:tc>
        <w:tc>
          <w:tcPr>
            <w:tcW w:w="31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157,351</w:t>
            </w: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157,221</w:t>
            </w: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129,651</w:t>
            </w: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244,581</w:t>
            </w: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149,852</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838,656</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82,879</w:t>
            </w: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32,196</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(gain) on disposition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73,994</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68,018</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586,313</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115,500</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acquired intangible assets.</w:t>
      </w:r>
    </w:p>
    <w:p>
      <w:pPr>
        <w:spacing w:after="0" w:line="10" w:lineRule="exact"/>
        <w:rPr>
          <w:rFonts w:ascii="Times New Roman" w:cs="Times New Roman" w:eastAsia="Times New Roman" w:hAnsi="Times New Roman"/>
          <w:sz w:val="21"/>
          <w:szCs w:val="21"/>
          <w:color w:val="auto"/>
          <w:vertAlign w:val="superscript"/>
        </w:rPr>
      </w:pPr>
    </w:p>
    <w:p>
      <w:pPr>
        <w:ind w:left="180" w:hanging="172"/>
        <w:spacing w:after="0" w:line="187" w:lineRule="auto"/>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w:t>
      </w:r>
    </w:p>
    <w:p>
      <w:pPr>
        <w:ind w:left="180" w:hanging="172"/>
        <w:spacing w:after="0" w:line="191" w:lineRule="auto"/>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(gain) on disposition due to the sale of De-Sta-Co in the Engineered Products segment.</w:t>
      </w:r>
    </w:p>
    <w:p>
      <w:pPr>
        <w:spacing w:after="0" w:line="10" w:lineRule="exact"/>
        <w:rPr>
          <w:rFonts w:ascii="Times New Roman" w:cs="Times New Roman" w:eastAsia="Times New Roman" w:hAnsi="Times New Roman"/>
          <w:sz w:val="21"/>
          <w:szCs w:val="21"/>
          <w:color w:val="auto"/>
          <w:vertAlign w:val="superscript"/>
        </w:rPr>
      </w:pPr>
    </w:p>
    <w:p>
      <w:pPr>
        <w:jc w:val="both"/>
        <w:ind w:right="20" w:firstLine="8"/>
        <w:spacing w:after="0" w:line="224" w:lineRule="auto"/>
        <w:tabs>
          <w:tab w:leader="none" w:pos="18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overhead costs, deal-related expenses and various administrative expenses relating to the corporate headquarters.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three and six months ended June 30, 2024, we incurred restructuring charges of $9.1 million and $27.8 million and other costs, net of $2.5 million and $8.5 million. Restructuring charges for the three months ended June 30, 2024 were primarily related to exit costs and headcount reductions across all segments. Restructuring charges for the six months ended June 30, 2024 were primarily related to product line exit costs and headcount reductions in the Climate &amp; Sustainability Technologies, Clean Energy &amp; Fueling and Pumps &amp; Process Solutions segments. These restructuring programs were initiated in 2023 and 2024 and the Company will continue to make proactive adjustments to its cost structure to align with current demand trends. Other costs, net of $8.5 million for the six months ended June 30, 2024, were primarily due to a non-cash asset impairment charge in our Climate &amp; Sustainability Technologies segment. These restructuring and other charges were recorded in cost of goods and services and selling, general and administrative expenses in the condensed consolidated statement of earnings. Additional programs beyond the scope of the announced programs may be implemented during 2024 with related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27,792</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and other costs for the three and six months ended June 30, 2023 included restructuring charges of $16.4 million and $28.9 million, respectively, and other costs, net of $1.7 million and $3.3 million, respectively. Restructuring charges for the three and six months ended June 30, 2023 were primarily related to headcount reductions and exit costs in the Clean Energy &amp; Fueling, Engineered Products and Pumps &amp; Process Solutions segments. These restructuring programs were initiated in 2022 and 2023 and were undertaken in light of current market conditions. Other costs, net of $2.0 million within the Clean Energy &amp; Fueling segment for the six months ended June 30, 2023 were primarily due to product line rationalization. These restructuring and other charges were recorded in cost of goods and services and selling, general and administrative expenses in the condensed consolidated statement of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40" w:type="dxa"/>
            <w:vAlign w:val="bottom"/>
          </w:tcPr>
          <w:p>
            <w:pPr>
              <w:spacing w:after="0"/>
              <w:rPr>
                <w:sz w:val="13"/>
                <w:szCs w:val="13"/>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40" w:type="dxa"/>
            <w:vAlign w:val="bottom"/>
          </w:tcPr>
          <w:p>
            <w:pPr>
              <w:spacing w:after="0"/>
              <w:rPr>
                <w:sz w:val="13"/>
                <w:szCs w:val="13"/>
                <w:color w:val="auto"/>
              </w:rPr>
            </w:pPr>
          </w:p>
        </w:tc>
        <w:tc>
          <w:tcPr>
            <w:tcW w:w="11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 net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r>
      <w:tr>
        <w:trPr>
          <w:trHeight w:val="230"/>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370,255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436,538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458,016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(86,010)</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(911,439)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(444,489)</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six months ended June 30, 2024 decreased by $66.3 million compared to June 30, 2023, primarily due to tax payments related to the gain from the De-Sta-Co divestiture.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accounts receivable, plus inventory, less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provides a meaningful measure of liquidity by showing changes caused by operational results. The following table provides a calculation of adjusted working capital: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1,559,915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1,432,040</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1,225,452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958,542</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1,824,404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1,698,950</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working capital increased by $125.5 million, or 7.4%, in the six months ended June 30, 2024, which reflected an increase of $127.9 million in accounts receivable, net, an increase of $13.4 million in inventory, net and an increase in accounts payable of $15.8 million. These amounts include the effects of acquisitions, dispositions and foreign currency translation. The change in accounts receivable and payable reflect the timing of payments and collections. The increase in inventories is driven by production planning ahead of higher expected shipment volumes in the next several quarters.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is derived from cash inflows from proceeds from disposition, partially offset by cash outflows for acquisitions and capital expenditures. The majority of the activity in investing activities was comprised of the following:</w:t>
      </w:r>
    </w:p>
    <w:p>
      <w:pPr>
        <w:spacing w:after="0" w:line="187" w:lineRule="exact"/>
        <w:rPr>
          <w:sz w:val="20"/>
          <w:szCs w:val="20"/>
          <w:color w:val="auto"/>
        </w:rPr>
      </w:pPr>
    </w:p>
    <w:p>
      <w:pPr>
        <w:ind w:left="660" w:hanging="328"/>
        <w:spacing w:after="0" w:line="284" w:lineRule="auto"/>
        <w:tabs>
          <w:tab w:leader="none" w:pos="649" w:val="left"/>
        </w:tabs>
        <w:numPr>
          <w:ilvl w:val="0"/>
          <w:numId w:val="1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Proceeds from disposition: </w:t>
      </w:r>
      <w:r>
        <w:rPr>
          <w:rFonts w:ascii="Times New Roman" w:cs="Times New Roman" w:eastAsia="Times New Roman" w:hAnsi="Times New Roman"/>
          <w:sz w:val="18"/>
          <w:szCs w:val="18"/>
          <w:color w:val="auto"/>
        </w:rPr>
        <w:t>During the six months ended June 30, 2024, we received net proceeds of $674.7 million from the sale of De-Sta-Co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Engineered Products segment. There were no proceeds from disposition during the six months ended June 30, 2023.</w:t>
      </w:r>
    </w:p>
    <w:p>
      <w:pPr>
        <w:spacing w:after="0" w:line="185"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2024, we deployed approximately $144.9 million, net, to acquire Transchem Group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Bulloch Technologies, Inc. within the Clean Energy &amp; Fueling segment and one other immaterial acquisition within the Imaging &amp; Identification segment. In comparison, during the six months ended June 30, 2023, there were no acquisitions.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line="284"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decreased $3.1 million during the six months ended June 30, 2024,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in line with our planned capital expenditures for the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through the remainder of 2024 will be funded from available cash and internally generated funds and, if necessary, through the issuance of commercial paper, or by accessing the public debt or equity markets. We estimate capital expenditures in 2024 to range from $160.0 million to $170.0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purchases of our common stock and payment of dividends, offset by net borrowing activity. The majority of financing activity was attributed to the following:</w:t>
      </w:r>
    </w:p>
    <w:p>
      <w:pPr>
        <w:spacing w:after="0" w:line="187" w:lineRule="exact"/>
        <w:rPr>
          <w:sz w:val="20"/>
          <w:szCs w:val="20"/>
          <w:color w:val="auto"/>
        </w:rPr>
      </w:pPr>
    </w:p>
    <w:p>
      <w:pPr>
        <w:jc w:val="both"/>
        <w:ind w:left="660" w:hanging="328"/>
        <w:spacing w:after="0" w:line="239" w:lineRule="auto"/>
        <w:tabs>
          <w:tab w:leader="none" w:pos="647" w:val="left"/>
        </w:tabs>
        <w:numPr>
          <w:ilvl w:val="0"/>
          <w:numId w:val="14"/>
        </w:numPr>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i w:val="1"/>
          <w:iCs w:val="1"/>
          <w:color w:val="auto"/>
        </w:rPr>
        <w:t xml:space="preserve">Repurchase of common stock, including prepayment under accelerated share repurchase program: </w:t>
      </w:r>
      <w:r>
        <w:rPr>
          <w:rFonts w:ascii="Times New Roman" w:cs="Times New Roman" w:eastAsia="Times New Roman" w:hAnsi="Times New Roman"/>
          <w:sz w:val="18"/>
          <w:szCs w:val="18"/>
          <w:color w:val="auto"/>
        </w:rPr>
        <w:t>During the six months ended June 30, 2024,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$500 million to repurchase 2,569,839 shares on March 1, 2024, under an accelerated share repurchase transaction. During the six months ended June 30, 2023, we repurchased no shares. See Note 17 — Stockholders' Equity in the condensed consolidated financial statements in Item 1 of this Form 10-Q for further details.</w:t>
      </w:r>
    </w:p>
    <w:p>
      <w:pPr>
        <w:spacing w:after="0" w:line="225" w:lineRule="exact"/>
        <w:rPr>
          <w:rFonts w:ascii="Times New Roman" w:cs="Times New Roman" w:eastAsia="Times New Roman" w:hAnsi="Times New Roman"/>
          <w:sz w:val="23"/>
          <w:szCs w:val="23"/>
          <w:b w:val="1"/>
          <w:bCs w:val="1"/>
          <w:i w:val="1"/>
          <w:iCs w:val="1"/>
          <w:color w:val="auto"/>
          <w:vertAlign w:val="superscript"/>
        </w:rPr>
      </w:pPr>
    </w:p>
    <w:p>
      <w:pPr>
        <w:jc w:val="both"/>
        <w:ind w:left="660" w:hanging="328"/>
        <w:spacing w:after="0" w:line="267" w:lineRule="auto"/>
        <w:tabs>
          <w:tab w:leader="none" w:pos="649" w:val="left"/>
        </w:tabs>
        <w:numPr>
          <w:ilvl w:val="0"/>
          <w:numId w:val="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Commercial paper and other short-term borrowings, net: </w:t>
      </w:r>
      <w:r>
        <w:rPr>
          <w:rFonts w:ascii="Times New Roman" w:cs="Times New Roman" w:eastAsia="Times New Roman" w:hAnsi="Times New Roman"/>
          <w:sz w:val="18"/>
          <w:szCs w:val="18"/>
          <w:color w:val="auto"/>
        </w:rPr>
        <w:t>During the six months ended June 30, 2024, we used $257.8 million to pay 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borrowings, with net proceeds received from the sale of De-Sta-Co. During the six months ended June 30, 2023, we used $289.6 million to pay off commercial paper borrowings.</w:t>
      </w:r>
    </w:p>
    <w:p>
      <w:pPr>
        <w:spacing w:after="0" w:line="200"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49" w:val="left"/>
        </w:tabs>
        <w:numPr>
          <w:ilvl w:val="0"/>
          <w:numId w:val="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$141.6 million during the six months ended June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$141.5 million during the same period in 2023. Our dividends paid per common share increased 1.0% to $1.02 during the six months ended June 30, 2024 compared to $1.01 during the same period in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may be available for mandatory payment obligations and investment opportunities, such as funding acquisitions, paying dividends, repaying debt and repurchasing our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370,255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436,538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(85,347)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(88,454)</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284,908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348,084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net earnings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net earnings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we generated free cash flow of $284.9 million, representing 6.7% of revenue and 31.2% of net earnings. Free cash flow for the six months ended June 30, 2024, decreased $63.2 million, compared to June 30, 2023, primarily due to tax payments related to the gain from the De-Sta-Co divestiture. The decreases in cash flow from operating activities and free cash flow as percentages of net earnings are due primarily to the gain on sale of De-Sta-Co. The Company made tax payments of $56.0 million related to the De-Sta-Co gain during the six months ended June 30, 2024. The remainder of the tax payments on the De-Sta-Co gain will be paid in quarterly installments throughout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June 30, 2024, we maintained $1.0 billion five-year and $500.0 million 364-day unsecured revolving credit facilities (together, the "Credit Agreements") with a syndicate of banks which expire April 6, 2028 and April 3, 2025, respectively. The Credit Agreements are designated as a liquidity back-stop for the Company's commercial paper program and also are available for general corporate purposes.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June 30, 2024 and had an interest coverage ratio of consolidated EBITDA to consolidated net interest expense of 20.1 to 1. We are not aware of any potential impairment to our liquidity and expect to remain in compliance with all of our debt covenants. Additionally, our earliest long-term debt maturity is in 2025.</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our cash and cash equivalents totaled $328.8 million, of which approximately $297.6 million was held outside the United States. At December 31, 2023, our cash and cash equivalents totaled $398.6 million, of which approximately $269.6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for total consideration, net of cash transferred, of $674.7 million. Of the total consideration, $63.0 million was received upon finalization of closing activities in India and China, which occurred during the second quarter. See Note 4 — Dispositions in the condensed consolidated financial statements in Item 1 of this Form 10-Q for further details.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the Company completed two business acquisitions for approximately $436.0 million, subject to post-closing adjustments, plus potential contingent consideration of up to approximately $14.0 million. In addition, the Company entered into a definitive agreement to sell ESG for approximately $2.0 billion on a cash-free and debt-free basis, subject to customary post-closing adjustments. The transaction is expected to close before year-end 2024, subject to customary closing conditions, including receipt of regulatory approvals. See Note 20 — Subsequent Events in the condensed consolidated financial statements in Item 1 of this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including cash held for sale. Net capitalization represents net debt plus stockholders' equity. The following table provides a calculation of net debt to net capitalization from the most directly comparable GAAP measures: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340" w:type="dxa"/>
            <w:vAlign w:val="bottom"/>
          </w:tcPr>
          <w:p>
            <w:pPr>
              <w:spacing w:after="0"/>
              <w:rPr>
                <w:sz w:val="17"/>
                <w:szCs w:val="17"/>
                <w:color w:val="auto"/>
              </w:rPr>
            </w:pPr>
          </w:p>
        </w:tc>
        <w:tc>
          <w:tcPr>
            <w:tcW w:w="2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17"/>
                <w:szCs w:val="17"/>
                <w:color w:val="auto"/>
              </w:rPr>
            </w:pPr>
          </w:p>
        </w:tc>
        <w:tc>
          <w:tcPr>
            <w:tcW w:w="2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209,800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467,600</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468,282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2,960,914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2,991,759</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3,171,385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3,460,041</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including cash held for sale</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(328,752)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(415,861)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2,842,633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3,044,180</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5,363,623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5,106,605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8,206,256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8,150,785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decreased to 34.6% at June 30, 2024 compared to 37.3% at December 31, 2023. Net debt decreased $201.5 million during the period primarily due to net proceeds from the sale of De-Sta-Co that were used to reduce our commercial paper borrowings and a decrease in long-term debt. Stockholders' equity increased for the period as a result of current earnings of $914.0 million, partially offset by share repurchases under the ASR program.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2023.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2023.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 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provides a useful comparison of our revenue performance and trends between periods.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2024. For a discussion of our exposure to market risk, refer to Item 7A, "Quantitative and Qualitative Disclosures about Market Risk," contained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 As of June 30, 2024, the number of shares still available for repurchase under the current share repurchase authorization was 17,430,161.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None.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 During the six months ended June 30, 2024,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2" w:lineRule="exact"/>
        <w:rPr>
          <w:sz w:val="20"/>
          <w:szCs w:val="20"/>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56">
        <w:r>
          <w:rPr>
            <w:rFonts w:ascii="Times New Roman" w:cs="Times New Roman" w:eastAsia="Times New Roman" w:hAnsi="Times New Roman"/>
            <w:sz w:val="18"/>
            <w:szCs w:val="18"/>
            <w:u w:val="single" w:color="auto"/>
            <w:color w:val="0000FF"/>
          </w:rPr>
          <w:t>Sixth Restated Certificate of Incorporation of the Company (as filed with the Secretary of State's Office of the State of Delaware on May 7,</w:t>
        </w:r>
      </w:hyperlink>
    </w:p>
    <w:p>
      <w:pPr>
        <w:ind w:left="98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2024), filed as Exhibit 3.1 to the Company's Current Report on Form 8-K filed on May 8, 2024 (SEC File No. 001-04018).</w:t>
        </w:r>
      </w:hyperlink>
    </w:p>
    <w:p>
      <w:pPr>
        <w:spacing w:after="0" w:line="165" w:lineRule="exact"/>
        <w:rPr>
          <w:sz w:val="20"/>
          <w:szCs w:val="20"/>
          <w:color w:val="auto"/>
        </w:rPr>
      </w:pPr>
    </w:p>
    <w:p>
      <w:pPr>
        <w:jc w:val="right"/>
        <w:ind w:lef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57">
        <w:r>
          <w:rPr>
            <w:rFonts w:ascii="Times New Roman" w:cs="Times New Roman" w:eastAsia="Times New Roman" w:hAnsi="Times New Roman"/>
            <w:sz w:val="18"/>
            <w:szCs w:val="18"/>
            <w:u w:val="single" w:color="auto"/>
            <w:color w:val="0000FF"/>
          </w:rPr>
          <w:t>364-Day Credit Agreement dated as of April 4, 2024 among Dover Corporation, the Lenders party thereto, the Borrowing Subsidiaries party</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FF"/>
          </w:rPr>
          <w:t>thereto from time to time and JPMorgan Chase Bank, N.A. as Administrative Agent, filed as Exhibit 10.3 to the Company's Quarterly Report</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on Form 10-Q for the quarter ended March 31, 2024 (SEC File No. 001-04018).</w:t>
        </w:r>
      </w:hyperlink>
    </w:p>
    <w:p>
      <w:pPr>
        <w:spacing w:after="0" w:line="151" w:lineRule="exact"/>
        <w:rPr>
          <w:sz w:val="20"/>
          <w:szCs w:val="20"/>
          <w:color w:val="auto"/>
        </w:rPr>
      </w:pPr>
    </w:p>
    <w:p>
      <w:pPr>
        <w:jc w:val="right"/>
        <w:ind w:lef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58">
        <w:r>
          <w:rPr>
            <w:rFonts w:ascii="Times New Roman" w:cs="Times New Roman" w:eastAsia="Times New Roman" w:hAnsi="Times New Roman"/>
            <w:sz w:val="18"/>
            <w:szCs w:val="18"/>
            <w:u w:val="single" w:color="auto"/>
            <w:color w:val="0000FF"/>
          </w:rPr>
          <w:t>First Amendment, dated as of April 4, 2024, to Five-Year Credit Agreement dated as of April 6, 2023 among Dover Corporation, the Lenders</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FF"/>
          </w:rPr>
          <w:t>party thereto, the Issuing Banks party thereto, the Borrowing Subsidiaries party thereto from time to time and JPMorgan Chase Bank, N.A. as</w:t>
        </w:r>
      </w:hyperlink>
    </w:p>
    <w:p>
      <w:pPr>
        <w:spacing w:after="0" w:line="2" w:lineRule="exact"/>
        <w:rPr>
          <w:sz w:val="20"/>
          <w:szCs w:val="20"/>
          <w:color w:val="auto"/>
        </w:rPr>
      </w:pPr>
    </w:p>
    <w:p>
      <w:pPr>
        <w:ind w:left="980"/>
        <w:spacing w:after="0" w:line="226" w:lineRule="auto"/>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Administrative Agent, filed as Exhibit 10.4 to the Company's Quarterly Report on Form 10-Q for the quarter ended March 31, 2024 (SEC File</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No. 001-04018).</w:t>
        </w:r>
      </w:hyperlink>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Brad M. Cerepak.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Brad M. Cerepak.</w:t>
      </w:r>
    </w:p>
    <w:p>
      <w:pPr>
        <w:spacing w:after="0" w:line="158" w:lineRule="exact"/>
        <w:rPr>
          <w:sz w:val="20"/>
          <w:szCs w:val="20"/>
          <w:color w:val="auto"/>
        </w:rPr>
      </w:pPr>
    </w:p>
    <w:p>
      <w:pPr>
        <w:jc w:val="both"/>
        <w:ind w:left="980" w:hanging="369"/>
        <w:spacing w:after="0" w:line="22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June 30, 2024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980" w:right="5320" w:hanging="369"/>
        <w:spacing w:after="0" w:line="47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in Inline XBRL and contained in Exhibit 101.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25,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25,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right="2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2024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25,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19"/>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56" Type="http://schemas.openxmlformats.org/officeDocument/2006/relationships/hyperlink" Target="https://www.sec.gov/Archives/edgar/data/29905/000119312524134321/d804750dex31.htm" TargetMode="External"/><Relationship Id="rId57" Type="http://schemas.openxmlformats.org/officeDocument/2006/relationships/hyperlink" Target="https://www.sec.gov/Archives/edgar/data/29905/000002990524000020/a2024033110-qexhibit103.htm" TargetMode="External"/><Relationship Id="rId58" Type="http://schemas.openxmlformats.org/officeDocument/2006/relationships/hyperlink" Target="https://www.sec.gov/Archives/edgar/data/29905/000002990524000020/a2024033110-q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2024-07-25T05:43:33Z</dcterms:created>
  <dcterms:modified xsi:type="dcterms:W3CDTF">2024-07-25T05:43:33Z</dcterms:modified>
</cp:coreProperties>
</file>