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pPr>
      <w:r>
        <w:rPr>
          <w:rFonts w:ascii="Arial;sans-serif" w:hAnsi="Arial;sans-serif"/>
          <w:b w:val="false"/>
          <w:color w:val="000000"/>
          <w:sz w:val="20"/>
        </w:rPr>
        <w:t>______________________________________</w:t>
      </w:r>
      <w:r>
        <w:rPr>
          <w:color w:val="000000"/>
        </w:rPr>
        <w:t>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0"/>
        <w:jc w:val="center"/>
        <w:rPr/>
      </w:pPr>
      <w:r>
        <w:rPr>
          <w:rFonts w:ascii="Arial;sans-serif" w:hAnsi="Arial;sans-serif"/>
          <w:b w:val="false"/>
          <w:color w:val="000000"/>
          <w:sz w:val="24"/>
        </w:rPr>
        <w:t>_______________________________</w:t>
      </w:r>
      <w:r>
        <w:rPr>
          <w:color w:val="000000"/>
        </w:rPr>
        <w:t> </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July 23,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w:t>
      </w:r>
    </w:p>
    <w:p>
      <w:pPr>
        <w:pStyle w:val="TextBody"/>
        <w:bidi w:val="0"/>
        <w:spacing w:lineRule="auto" w:line="288" w:before="0" w:after="0"/>
        <w:jc w:val="center"/>
        <w:rPr/>
      </w:pPr>
      <w:r>
        <w:rPr/>
        <w:drawing>
          <wp:inline distT="0" distB="0" distL="0" distR="0">
            <wp:extent cx="41910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0" cy="638175"/>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0" w:after="0"/>
        <w:jc w:val="center"/>
        <w:rPr>
          <w:rFonts w:ascii="Arial;sans-serif" w:hAnsi="Arial;sans-serif"/>
          <w:b w:val="false"/>
          <w:color w:val="FFFFFF"/>
          <w:sz w:val="12"/>
        </w:rPr>
      </w:pPr>
      <w:r>
        <w:rPr>
          <w:rFonts w:ascii="Arial;sans-serif" w:hAnsi="Arial;sans-serif"/>
          <w:b w:val="false"/>
          <w:color w:val="FFFFFF"/>
          <w:sz w:val="12"/>
        </w:rPr>
        <w:t>DOVER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w:t>
      </w:r>
    </w:p>
    <w:tbl>
      <w:tblPr>
        <w:tblW w:w="9477" w:type="dxa"/>
        <w:jc w:val="center"/>
        <w:tblInd w:w="0" w:type="dxa"/>
        <w:tblLayout w:type="fixed"/>
        <w:tblCellMar>
          <w:top w:w="28" w:type="dxa"/>
          <w:left w:w="28" w:type="dxa"/>
          <w:bottom w:w="28" w:type="dxa"/>
          <w:right w:w="28" w:type="dxa"/>
        </w:tblCellMar>
      </w:tblPr>
      <w:tblGrid>
        <w:gridCol w:w="704"/>
        <w:gridCol w:w="618"/>
        <w:gridCol w:w="618"/>
        <w:gridCol w:w="618"/>
        <w:gridCol w:w="618"/>
        <w:gridCol w:w="633"/>
        <w:gridCol w:w="822"/>
        <w:gridCol w:w="822"/>
        <w:gridCol w:w="830"/>
        <w:gridCol w:w="932"/>
        <w:gridCol w:w="932"/>
        <w:gridCol w:w="1330"/>
      </w:tblGrid>
      <w:tr>
        <w:trPr/>
        <w:tc>
          <w:tcPr>
            <w:tcW w:w="70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1-4018</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53-0257888</w:t>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3005 Highland Parkway</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Downers Grove, Illinois</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60515</w:t>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(630) 541-1540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pPr>
      <w:r>
        <w:rPr>
          <w:color w:val="000000"/>
        </w:rPr>
        <w:t> </w:t>
      </w:r>
      <w:r>
        <w:rPr>
          <w:rFonts w:ascii="Arial;sans-serif" w:hAnsi="Arial;sans-serif"/>
          <w:b w:val="false"/>
          <w:color w:val="000000"/>
          <w:sz w:val="16"/>
        </w:rPr>
        <w:t>______________________________________________</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902" w:type="dxa"/>
        <w:jc w:val="left"/>
        <w:tblInd w:w="0" w:type="dxa"/>
        <w:tblLayout w:type="fixed"/>
        <w:tblCellMar>
          <w:top w:w="28" w:type="dxa"/>
          <w:left w:w="28" w:type="dxa"/>
          <w:bottom w:w="28" w:type="dxa"/>
          <w:right w:w="28" w:type="dxa"/>
        </w:tblCellMar>
      </w:tblPr>
      <w:tblGrid>
        <w:gridCol w:w="798"/>
        <w:gridCol w:w="699"/>
        <w:gridCol w:w="707"/>
        <w:gridCol w:w="564"/>
        <w:gridCol w:w="564"/>
        <w:gridCol w:w="566"/>
        <w:gridCol w:w="1170"/>
        <w:gridCol w:w="1170"/>
        <w:gridCol w:w="1664"/>
      </w:tblGrid>
      <w:tr>
        <w:trPr/>
        <w:tc>
          <w:tcPr>
            <w:tcW w:w="7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DOV</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1.250% Notes due 2026</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DOV 26</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0.750% Notes due 2027</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DOV 27</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2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3.500% Notes due 2033</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DOV 33</w:t>
            </w:r>
          </w:p>
        </w:tc>
        <w:tc>
          <w:tcPr>
            <w:tcW w:w="400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right"/>
        <w:rPr>
          <w:rFonts w:ascii="Arial;sans-serif" w:hAnsi="Arial;sans-serif"/>
          <w:b w:val="false"/>
          <w:color w:val="000000"/>
          <w:sz w:val="20"/>
        </w:rPr>
      </w:pPr>
      <w:r>
        <w:rPr>
          <w:rFonts w:ascii="Arial;sans-serif" w:hAnsi="Arial;sans-serif"/>
          <w:b w:val="false"/>
          <w:color w:val="000000"/>
          <w:sz w:val="20"/>
        </w:rPr>
        <w:t>Emerging growth company ☐            </w:t>
      </w:r>
    </w:p>
    <w:p>
      <w:pPr>
        <w:pStyle w:val="TextBody"/>
        <w:bidi w:val="0"/>
        <w:spacing w:lineRule="auto" w:line="288" w:before="60" w:after="12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23, 2026, Dover Corporation ("Dover") issued the Press Release attached hereto as Exhibit 99.1 announcing its results of operations for the quarter ended June 30,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previously announced, on July 23, 2026, Dover will hold an investor conference call and webcast at 8:30 a.m. Central time (9:30 a.m. Eastern time) to discuss its results of operations for the quarter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20"/>
        </w:rPr>
        <w:t xml:space="preserve">(d) </w:t>
      </w:r>
      <w:r>
        <w:rPr>
          <w:rFonts w:ascii="Arial;sans-serif" w:hAnsi="Arial;sans-serif"/>
          <w:b w:val="false"/>
          <w:color w:val="000000"/>
          <w:sz w:val="20"/>
          <w:u w:val="single"/>
        </w:rPr>
        <w:t>Exhibits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furnished as part of this report:</w:t>
      </w:r>
    </w:p>
    <w:p>
      <w:pPr>
        <w:pStyle w:val="TextBody"/>
        <w:bidi w:val="0"/>
        <w:spacing w:before="0" w:after="0"/>
        <w:jc w:val="left"/>
        <w:rPr/>
      </w:pPr>
      <w:r>
        <w:rPr/>
      </w:r>
    </w:p>
    <w:p>
      <w:pPr>
        <w:pStyle w:val="TextBody"/>
        <w:bidi w:val="0"/>
        <w:spacing w:lineRule="auto" w:line="288" w:before="0" w:after="0"/>
        <w:jc w:val="left"/>
        <w:rPr/>
      </w:pPr>
      <w:hyperlink w:anchor="a202607238-kexhibit991pr.htm">
        <w:r>
          <w:rPr>
            <w:rStyle w:val="InternetLink"/>
          </w:rPr>
          <w:t xml:space="preserve">99.1 Press Release dated </w:t>
        </w:r>
      </w:hyperlink>
      <w:hyperlink w:anchor="a202607238-kexhibit991pr.htm">
        <w:r>
          <w:rPr>
            <w:rStyle w:val="InternetLink"/>
          </w:rPr>
          <w:t>July</w:t>
        </w:r>
      </w:hyperlink>
      <w:hyperlink w:anchor="a202607238-kexhibit991pr.htm">
        <w:r>
          <w:rPr>
            <w:rStyle w:val="InternetLink"/>
          </w:rPr>
          <w:t xml:space="preserve"> </w:t>
        </w:r>
      </w:hyperlink>
      <w:hyperlink w:anchor="a202607238-kexhibit991pr.htm">
        <w:r>
          <w:rPr>
            <w:rStyle w:val="InternetLink"/>
          </w:rPr>
          <w:t>23, 2026</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 Cover Page Interactive Data File (the cover page XBRL tags are embedded within the Inline XBRL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8024"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381"/>
        <w:gridCol w:w="381"/>
        <w:gridCol w:w="381"/>
        <w:gridCol w:w="1541"/>
        <w:gridCol w:w="1541"/>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23, 2026</w:t>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DOVER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Ivonne M. Cabrera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Ivonne M. Cabrera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&amp;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left"/>
        <w:rPr/>
      </w:pPr>
      <w:r>
        <w:rPr/>
        <w:drawing>
          <wp:inline distT="0" distB="0" distL="0" distR="0">
            <wp:extent cx="1752600" cy="600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52600" cy="600075"/>
                    </a:xfrm>
                    <a:prstGeom prst="rect">
                      <a:avLst/>
                    </a:prstGeom>
                  </pic:spPr>
                </pic:pic>
              </a:graphicData>
            </a:graphic>
          </wp:inline>
        </w:drawing>
      </w:r>
    </w:p>
    <w:tbl>
      <w:tblPr>
        <w:tblW w:w="6208" w:type="dxa"/>
        <w:jc w:val="left"/>
        <w:tblInd w:w="0" w:type="dxa"/>
        <w:tblLayout w:type="fixed"/>
        <w:tblCellMar>
          <w:top w:w="28" w:type="dxa"/>
          <w:left w:w="28" w:type="dxa"/>
          <w:bottom w:w="28" w:type="dxa"/>
          <w:right w:w="28" w:type="dxa"/>
        </w:tblCellMar>
      </w:tblPr>
      <w:tblGrid>
        <w:gridCol w:w="1139"/>
        <w:gridCol w:w="1001"/>
        <w:gridCol w:w="1009"/>
        <w:gridCol w:w="1135"/>
        <w:gridCol w:w="794"/>
        <w:gridCol w:w="1130"/>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 Contact:</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Jack Dickens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Adrian Sakowicz</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 Investor Relations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 Communications</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(630) 743-2566</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(630) 743-5039</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jdickens@dovercorp.com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asakowicz@dovercorp.com</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REPORTS SECOND QUARTER 2026 RESULTS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0"/>
        </w:rPr>
        <w:t>DOWNERS GROVE, Ill., July 23, 2026</w:t>
      </w:r>
      <w:r>
        <w:rPr>
          <w:color w:val="000000"/>
        </w:rPr>
        <w:t xml:space="preserve"> — </w:t>
      </w:r>
      <w:r>
        <w:rPr>
          <w:rFonts w:ascii="Arial;sans-serif" w:hAnsi="Arial;sans-serif"/>
          <w:b w:val="false"/>
          <w:color w:val="000000"/>
          <w:sz w:val="20"/>
        </w:rPr>
        <w:t>Dover (NYSE: DOV), a diversified global manufacturer, announced its financial results for the second quarter ended June 30, 2026. All comparisons are to the comparable period of the prior fiscal year, unless otherwise noted.</w:t>
      </w:r>
    </w:p>
    <w:tbl>
      <w:tblPr>
        <w:tblW w:w="10205" w:type="dxa"/>
        <w:jc w:val="left"/>
        <w:tblInd w:w="0" w:type="dxa"/>
        <w:tblLayout w:type="fixed"/>
        <w:tblCellMar>
          <w:top w:w="28" w:type="dxa"/>
          <w:left w:w="28" w:type="dxa"/>
          <w:bottom w:w="28" w:type="dxa"/>
          <w:right w:w="28" w:type="dxa"/>
        </w:tblCellMar>
      </w:tblPr>
      <w:tblGrid>
        <w:gridCol w:w="862"/>
        <w:gridCol w:w="657"/>
        <w:gridCol w:w="660"/>
        <w:gridCol w:w="109"/>
        <w:gridCol w:w="109"/>
        <w:gridCol w:w="109"/>
        <w:gridCol w:w="211"/>
        <w:gridCol w:w="646"/>
        <w:gridCol w:w="109"/>
        <w:gridCol w:w="109"/>
        <w:gridCol w:w="109"/>
        <w:gridCol w:w="109"/>
        <w:gridCol w:w="211"/>
        <w:gridCol w:w="646"/>
        <w:gridCol w:w="109"/>
        <w:gridCol w:w="109"/>
        <w:gridCol w:w="109"/>
        <w:gridCol w:w="109"/>
        <w:gridCol w:w="232"/>
        <w:gridCol w:w="232"/>
        <w:gridCol w:w="611"/>
        <w:gridCol w:w="109"/>
        <w:gridCol w:w="109"/>
        <w:gridCol w:w="109"/>
        <w:gridCol w:w="211"/>
        <w:gridCol w:w="646"/>
        <w:gridCol w:w="109"/>
        <w:gridCol w:w="109"/>
        <w:gridCol w:w="109"/>
        <w:gridCol w:w="109"/>
        <w:gridCol w:w="211"/>
        <w:gridCol w:w="646"/>
        <w:gridCol w:w="109"/>
        <w:gridCol w:w="109"/>
        <w:gridCol w:w="109"/>
        <w:gridCol w:w="109"/>
        <w:gridCol w:w="221"/>
        <w:gridCol w:w="221"/>
        <w:gridCol w:w="683"/>
      </w:tblGrid>
      <w:tr>
        <w:trPr/>
        <w:tc>
          <w:tcPr>
            <w:tcW w:w="86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0205"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GAAP</w:t>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from continuing operations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Diluted EPS</w:t>
            </w:r>
            <w:r>
              <w:rPr>
                <w:color w:val="000000"/>
              </w:rPr>
              <w:t xml:space="preserve"> </w:t>
            </w:r>
            <w:r>
              <w:rPr>
                <w:rFonts w:ascii="Arial;sans-serif" w:hAnsi="Arial;sans-serif"/>
                <w:b w:val="false"/>
                <w:color w:val="000000"/>
                <w:sz w:val="20"/>
              </w:rPr>
              <w:t>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Adjusted earnings from continuing operations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diluted EPS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68" w:before="0" w:after="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Q2 and year-to-date 2026 and 2025 adjusted earnings from continuing operations exclude after-tax purchase accounting expenses, restructuring and other costs, and gain on dispositions.</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Totals, change and per share data may be impacted by rounding.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2026, Dover generated revenue of $2.2 billion, an increase of 7% (+5% organic). GAAP earnings from continuing operations of $313 million increased by 12%, and GAAP diluted EPS from continuing operations of $2.31 was up 14%. On an adjusted basis, earnings from continuing operations of $372 million were up 10% and adjusted diluted EPS from continuing operations of $2.74 was up 12%.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2026, Dover generated revenue of $4.2 billion, an increase of 8% (+5% organic). GAAP earnings from continuing operations of $551 million increased by 6%, and GAAP diluted EPS from continuing operations of $4.06 was up 8%. On an adjusted basis, earnings from continuing operations of $681 million were up 10% and adjusted diluted EPS from continuing operations of $5.02 was up 12%.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full reconciliation between GAAP and adjusted measures and definitions of non-GAAP and other performance measures are included as an exhibit herein.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MANAGEMENT COMMENTARY: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Dover’s President and Chief Executive Officer, Richard J. Tobin, said, "Dover delivered another strong quarter of double-digit earnings per share growth. Top-line performance was led by our secular-growth-exposed markets — which now account for approximately 25% of the total portfolio — and was complemented by broad-based, constructive trading conditions across the portfolio. Notably, all five segments delivered positive organic growth in the quarter, underscoring the breadth and durability of demand. Margin performance was solid, as continued operational execution on incremental volumes more than offset input cost inflation.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"Bookings outpaced shipments and grew double digits in the quarter, extending the streak of exceptional order rate momentum our businesses have posted over the past several quarters. The strength and breadth of our order book provide improved visibility to our second half outlook.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balance sheet remains a competitive advantage, and we continue to invest capital behind our businesses. During the quarter, we advanced capacity-expansion projects to support growth and productivity investments to drive margins across the portfolio. Industrial M&amp;A markets have improved this year, and our acquisition pipeline has a number of interesting opportunities in attractive end markets.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look to the back half of the year, we are well positioned to drive continued value creation for our shareholders. The underlying strength of our order book, together with the flexibility of our business model and the optionality of our balance sheet, afford us the ability to respond dynamically to market conditions and quickly capitalize on opportunities as they arise. Accordingly, we are raising our full-year adjusted EPS guidance."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FULL YEAR 2026 GUIDANCE: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2026, Dover expects to generate GAAP EPS in the range of $8.94 to $9.14 (adjusted EPS of $10.55 to $10.75), based on full year revenue growth of 6% to 8% (organic growth of 4% to 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Dover will host a webcast and conference call to discuss its second quarter results at 9:30 A.M. Eastern Time (8:30 A.M. Central Time) on Thursday, July 23, 2026. The webcast can be accessed on the Dover website at dovercorporation.com. The conference call will also be made available for replay on the website. Additional information on Dover's results and its operating segments can be found on the Company's website.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DOVER: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Dover is a diversified global manufacturer and solutions provider with annual revenue of over $8 billion. We deliver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 combines global scale with operational agility to lead the markets we serve. Recognized for our entrepreneurial approach for over 70 years, our team of approximately 24,000 employees takes an ownership mindset, collaborating with customers to redefine what's possible. Headquartered in Downers Grove, Illinois, Dover trades on the New York Stock Exchange under "DOV."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All statements in this document other than statements of historical fact are statements that are, or could be deemed, "forward-looking" statements. Forward-looking statements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consummate and successfully integrate and realize synergies from newly acquired businesses; acquisition valuation levels; the impact of interest rate and currency exchange rate fluctuations;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For details on the risks and uncertainties that could cause our results to differ materially from the forward-looking statements contained herein, we refer you to the documents we file with the Securities and Exchange Commission, including our Annual Report on Form 10-K for the year ended December 31, 2025, and our Quarterly Reports on Form 10-Q and Current Reports on Form 8-K. These documents are available from the Securities and Exchange Commission, and on our website, dovercorporation.com. The Company undertakes no obligation to publicly update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INVESTOR SUPPLEMENT - SECOND QUARTER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EARNINGS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before="0" w:after="0"/>
        <w:jc w:val="center"/>
        <w:rPr/>
      </w:pPr>
      <w:r>
        <w:rPr/>
      </w:r>
    </w:p>
    <w:tbl>
      <w:tblPr>
        <w:tblW w:w="10020" w:type="dxa"/>
        <w:jc w:val="center"/>
        <w:tblInd w:w="0" w:type="dxa"/>
        <w:tblLayout w:type="fixed"/>
        <w:tblCellMar>
          <w:top w:w="28" w:type="dxa"/>
          <w:left w:w="28" w:type="dxa"/>
          <w:bottom w:w="28" w:type="dxa"/>
          <w:right w:w="28" w:type="dxa"/>
        </w:tblCellMar>
      </w:tblPr>
      <w:tblGrid>
        <w:gridCol w:w="1381"/>
        <w:gridCol w:w="1213"/>
        <w:gridCol w:w="121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3,915,651 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earnings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650,906 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dispositions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647,478 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from continuing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from discontinued operations,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earnings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509,885 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EARNINGS PER SHARE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 except per share data*)</w:t>
      </w:r>
    </w:p>
    <w:tbl>
      <w:tblPr>
        <w:tblW w:w="12627" w:type="dxa"/>
        <w:jc w:val="center"/>
        <w:tblInd w:w="0" w:type="dxa"/>
        <w:tblLayout w:type="fixed"/>
        <w:tblCellMar>
          <w:top w:w="28" w:type="dxa"/>
          <w:left w:w="28" w:type="dxa"/>
          <w:bottom w:w="28" w:type="dxa"/>
          <w:right w:w="28" w:type="dxa"/>
        </w:tblCellMar>
      </w:tblPr>
      <w:tblGrid>
        <w:gridCol w:w="636"/>
        <w:gridCol w:w="282"/>
        <w:gridCol w:w="283"/>
        <w:gridCol w:w="211"/>
        <w:gridCol w:w="826"/>
        <w:gridCol w:w="109"/>
        <w:gridCol w:w="211"/>
        <w:gridCol w:w="826"/>
        <w:gridCol w:w="109"/>
        <w:gridCol w:w="211"/>
        <w:gridCol w:w="841"/>
        <w:gridCol w:w="109"/>
        <w:gridCol w:w="109"/>
        <w:gridCol w:w="109"/>
        <w:gridCol w:w="109"/>
        <w:gridCol w:w="109"/>
        <w:gridCol w:w="109"/>
        <w:gridCol w:w="109"/>
        <w:gridCol w:w="109"/>
        <w:gridCol w:w="211"/>
        <w:gridCol w:w="826"/>
        <w:gridCol w:w="109"/>
        <w:gridCol w:w="211"/>
        <w:gridCol w:w="826"/>
        <w:gridCol w:w="109"/>
        <w:gridCol w:w="211"/>
        <w:gridCol w:w="841"/>
        <w:gridCol w:w="109"/>
        <w:gridCol w:w="211"/>
        <w:gridCol w:w="826"/>
        <w:gridCol w:w="109"/>
        <w:gridCol w:w="109"/>
        <w:gridCol w:w="211"/>
        <w:gridCol w:w="826"/>
        <w:gridCol w:w="109"/>
        <w:gridCol w:w="211"/>
        <w:gridCol w:w="99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7709" w:type="dxa"/>
            <w:gridSpan w:val="2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Basic earnings (loss) per share:</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2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earnings (loss) and weighted average shares used in calculated earnings (loss) per share amounts are as follows:</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551,294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1,097,429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550,679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509,885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1,093,956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134,869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136,935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137,777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1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Per share data may be impacted by rounding.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1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SEGMENT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tbl>
      <w:tblPr>
        <w:tblW w:w="14007" w:type="dxa"/>
        <w:jc w:val="center"/>
        <w:tblInd w:w="0" w:type="dxa"/>
        <w:tblLayout w:type="fixed"/>
        <w:tblCellMar>
          <w:top w:w="28" w:type="dxa"/>
          <w:left w:w="28" w:type="dxa"/>
          <w:bottom w:w="28" w:type="dxa"/>
          <w:right w:w="28" w:type="dxa"/>
        </w:tblCellMar>
      </w:tblPr>
      <w:tblGrid>
        <w:gridCol w:w="691"/>
        <w:gridCol w:w="343"/>
        <w:gridCol w:w="347"/>
        <w:gridCol w:w="211"/>
        <w:gridCol w:w="976"/>
        <w:gridCol w:w="109"/>
        <w:gridCol w:w="211"/>
        <w:gridCol w:w="976"/>
        <w:gridCol w:w="109"/>
        <w:gridCol w:w="211"/>
        <w:gridCol w:w="991"/>
        <w:gridCol w:w="109"/>
        <w:gridCol w:w="109"/>
        <w:gridCol w:w="109"/>
        <w:gridCol w:w="109"/>
        <w:gridCol w:w="109"/>
        <w:gridCol w:w="109"/>
        <w:gridCol w:w="109"/>
        <w:gridCol w:w="109"/>
        <w:gridCol w:w="211"/>
        <w:gridCol w:w="976"/>
        <w:gridCol w:w="109"/>
        <w:gridCol w:w="211"/>
        <w:gridCol w:w="976"/>
        <w:gridCol w:w="109"/>
        <w:gridCol w:w="211"/>
        <w:gridCol w:w="991"/>
        <w:gridCol w:w="109"/>
        <w:gridCol w:w="211"/>
        <w:gridCol w:w="976"/>
        <w:gridCol w:w="109"/>
        <w:gridCol w:w="109"/>
        <w:gridCol w:w="211"/>
        <w:gridCol w:w="976"/>
        <w:gridCol w:w="109"/>
        <w:gridCol w:w="211"/>
        <w:gridCol w:w="991"/>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368" w:type="dxa"/>
            <w:gridSpan w:val="13"/>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550,120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1,085,844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1,149,768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1,037,245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2,130,507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590,521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572,099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1,173,443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1,090,519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1,014,127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2,148,670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866,157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764,039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1,559,841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4,243,644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3,915,651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8,092,571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Engineered Products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217,266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193,415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418,070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314,735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Pumps &amp; Process Solutions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348,340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310,779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651,600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265,647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earnings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980,970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885,712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1,867,318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218,445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w:t>
            </w:r>
            <w:r>
              <w:rPr>
                <w:rFonts w:ascii="Arial;sans-serif" w:hAnsi="Arial;sans-serif"/>
                <w:b w:val="false"/>
                <w:color w:val="000000"/>
                <w:sz w:val="12"/>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77,986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w:t>
            </w:r>
            <w:r>
              <w:rPr>
                <w:rFonts w:ascii="Arial;sans-serif" w:hAnsi="Arial;sans-serif"/>
                <w:b w:val="false"/>
                <w:color w:val="000000"/>
                <w:sz w:val="12"/>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expense / other </w:t>
            </w:r>
            <w:r>
              <w:rPr>
                <w:rFonts w:ascii="Arial;sans-serif" w:hAnsi="Arial;sans-serif"/>
                <w:b w:val="false"/>
                <w:color w:val="000000"/>
                <w:sz w:val="12"/>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93,834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164,539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686,600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647,478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1,374,252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276,823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551,294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519,371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1,097,429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SEGMENT EARNINGS MARGIN</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Products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18.7 %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18.4 %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20.0 %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19.8 %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18.6 %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19.6 %</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27.0 %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26.8 %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Pumps &amp; Process Solutions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30.6 %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30.3 %</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Climate &amp; Sustainability Technologies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17.0 %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earnings margin</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22.6 %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23.1 %</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626" w:type="dxa"/>
            <w:gridSpan w:val="35"/>
            <w:tcBorders/>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9" w:type="dxa"/>
            <w:gridSpan w:val="25"/>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Purchase accounting expenses are primarily comprised of amortization of intangible assets.</w:t>
            </w:r>
          </w:p>
        </w:tc>
        <w:tc>
          <w:tcPr>
            <w:tcW w:w="5368" w:type="dxa"/>
            <w:gridSpan w:val="13"/>
            <w:tcBorders/>
          </w:tcPr>
          <w:p>
            <w:pPr>
              <w:pStyle w:val="TableContents"/>
              <w:bidi w:val="0"/>
              <w:spacing w:before="0" w:after="283"/>
              <w:jc w:val="left"/>
              <w:rPr>
                <w:sz w:val="4"/>
                <w:szCs w:val="4"/>
              </w:rPr>
            </w:pPr>
            <w:r>
              <w:rPr>
                <w:sz w:val="4"/>
                <w:szCs w:val="4"/>
              </w:rPr>
            </w:r>
          </w:p>
        </w:tc>
      </w:tr>
      <w:tr>
        <w:trPr/>
        <w:tc>
          <w:tcPr>
            <w:tcW w:w="8639" w:type="dxa"/>
            <w:gridSpan w:val="25"/>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Restructuring and other costs relate to actions taken for headcount reductions, facility consolidations and site closures, product line exits, and other asset charges.</w:t>
            </w:r>
          </w:p>
        </w:tc>
        <w:tc>
          <w:tcPr>
            <w:tcW w:w="5368" w:type="dxa"/>
            <w:gridSpan w:val="13"/>
            <w:tcBorders/>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626" w:type="dxa"/>
            <w:gridSpan w:val="35"/>
            <w:tcBorders/>
          </w:tcPr>
          <w:p>
            <w:pPr>
              <w:pStyle w:val="TableContents"/>
              <w:bidi w:val="0"/>
              <w:spacing w:before="0" w:after="283"/>
              <w:jc w:val="left"/>
              <w:rPr>
                <w:sz w:val="4"/>
                <w:szCs w:val="4"/>
              </w:rPr>
            </w:pPr>
            <w:r>
              <w:rPr>
                <w:sz w:val="4"/>
                <w:szCs w:val="4"/>
              </w:rPr>
            </w:r>
          </w:p>
        </w:tc>
      </w:tr>
      <w:tr>
        <w:trPr/>
        <w:tc>
          <w:tcPr>
            <w:tcW w:w="8639" w:type="dxa"/>
            <w:gridSpan w:val="25"/>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Gain on dispositions, including post-closing adjustments.</w:t>
            </w:r>
          </w:p>
        </w:tc>
        <w:tc>
          <w:tcPr>
            <w:tcW w:w="5368" w:type="dxa"/>
            <w:gridSpan w:val="13"/>
            <w:tcBorders/>
          </w:tcPr>
          <w:p>
            <w:pPr>
              <w:pStyle w:val="TableContents"/>
              <w:bidi w:val="0"/>
              <w:spacing w:before="0" w:after="283"/>
              <w:jc w:val="left"/>
              <w:rPr>
                <w:sz w:val="4"/>
                <w:szCs w:val="4"/>
              </w:rPr>
            </w:pPr>
            <w:r>
              <w:rPr>
                <w:sz w:val="4"/>
                <w:szCs w:val="4"/>
              </w:rPr>
            </w:r>
          </w:p>
        </w:tc>
      </w:tr>
      <w:tr>
        <w:trPr/>
        <w:tc>
          <w:tcPr>
            <w:tcW w:w="8639"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 xml:space="preserve">4 </w:t>
            </w:r>
            <w:r>
              <w:rPr>
                <w:rFonts w:ascii="Arial;sans-serif" w:hAnsi="Arial;sans-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tc>
        <w:tc>
          <w:tcPr>
            <w:tcW w:w="5368" w:type="dxa"/>
            <w:gridSpan w:val="13"/>
            <w:tcBorders/>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626" w:type="dxa"/>
            <w:gridSpan w:val="35"/>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ADJUSTED EARNINGS AND ADJUSTED EARNINGS PER SHARE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 except per share data*)</w:t>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tbl>
      <w:tblPr>
        <w:tblW w:w="12642" w:type="dxa"/>
        <w:jc w:val="left"/>
        <w:tblInd w:w="0" w:type="dxa"/>
        <w:tblLayout w:type="fixed"/>
        <w:tblCellMar>
          <w:top w:w="28" w:type="dxa"/>
          <w:left w:w="28" w:type="dxa"/>
          <w:bottom w:w="28" w:type="dxa"/>
          <w:right w:w="28" w:type="dxa"/>
        </w:tblCellMar>
      </w:tblPr>
      <w:tblGrid>
        <w:gridCol w:w="584"/>
        <w:gridCol w:w="315"/>
        <w:gridCol w:w="317"/>
        <w:gridCol w:w="211"/>
        <w:gridCol w:w="826"/>
        <w:gridCol w:w="109"/>
        <w:gridCol w:w="211"/>
        <w:gridCol w:w="826"/>
        <w:gridCol w:w="109"/>
        <w:gridCol w:w="211"/>
        <w:gridCol w:w="841"/>
        <w:gridCol w:w="109"/>
        <w:gridCol w:w="109"/>
        <w:gridCol w:w="109"/>
        <w:gridCol w:w="109"/>
        <w:gridCol w:w="109"/>
        <w:gridCol w:w="109"/>
        <w:gridCol w:w="109"/>
        <w:gridCol w:w="109"/>
        <w:gridCol w:w="211"/>
        <w:gridCol w:w="826"/>
        <w:gridCol w:w="109"/>
        <w:gridCol w:w="211"/>
        <w:gridCol w:w="826"/>
        <w:gridCol w:w="109"/>
        <w:gridCol w:w="211"/>
        <w:gridCol w:w="841"/>
        <w:gridCol w:w="109"/>
        <w:gridCol w:w="211"/>
        <w:gridCol w:w="826"/>
        <w:gridCol w:w="109"/>
        <w:gridCol w:w="109"/>
        <w:gridCol w:w="211"/>
        <w:gridCol w:w="826"/>
        <w:gridCol w:w="109"/>
        <w:gridCol w:w="211"/>
        <w:gridCol w:w="99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35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earnings from continuing operations: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551,294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1,097,429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pre-tax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218,445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tax impact </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pre-tax </w:t>
            </w:r>
            <w:r>
              <w:rPr>
                <w:rFonts w:ascii="Arial;sans-serif" w:hAnsi="Arial;sans-serif"/>
                <w:b w:val="false"/>
                <w:color w:val="000000"/>
                <w:sz w:val="12"/>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77,986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tax impact </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pre-tax </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tax-impact </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earnings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681,075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619,870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1,324,486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7973" w:type="dxa"/>
            <w:gridSpan w:val="26"/>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669"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Adjusted diluted earnings per share from continuing operations: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0"/>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 earnings per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pre-tax </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tax impact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pre-tax </w:t>
            </w:r>
            <w:r>
              <w:rPr>
                <w:rFonts w:ascii="Arial;sans-serif" w:hAnsi="Arial;sans-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tax impact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pre-tax </w:t>
            </w:r>
            <w:r>
              <w:rPr>
                <w:rFonts w:ascii="Arial;sans-serif" w:hAnsi="Arial;sans-serif"/>
                <w:b w:val="false"/>
                <w:color w:val="000000"/>
                <w:sz w:val="12"/>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tax-impact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diluted earnings per share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25"/>
            <w:tcBorders/>
            <w:tcMar>
              <w:top w:w="0" w:type="dxa"/>
              <w:left w:w="0" w:type="dxa"/>
              <w:bottom w:w="0" w:type="dxa"/>
              <w:right w:w="0" w:type="dxa"/>
            </w:tcMar>
            <w:vAlign w:val="center"/>
          </w:tcPr>
          <w:p>
            <w:pPr>
              <w:pStyle w:val="TableContents"/>
              <w:bidi w:val="0"/>
              <w:spacing w:lineRule="auto" w:line="268" w:before="40" w:after="283"/>
              <w:jc w:val="both"/>
              <w:rPr/>
            </w:pP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Purchase accounting expenses are primarily comprised of amortization of intangible assets.</w:t>
            </w:r>
          </w:p>
        </w:tc>
        <w:tc>
          <w:tcPr>
            <w:tcW w:w="4918" w:type="dxa"/>
            <w:gridSpan w:val="13"/>
            <w:tcBorders/>
          </w:tcPr>
          <w:p>
            <w:pPr>
              <w:pStyle w:val="TableContents"/>
              <w:bidi w:val="0"/>
              <w:spacing w:before="0" w:after="283"/>
              <w:jc w:val="left"/>
              <w:rPr>
                <w:sz w:val="4"/>
                <w:szCs w:val="4"/>
              </w:rPr>
            </w:pPr>
            <w:r>
              <w:rPr>
                <w:sz w:val="4"/>
                <w:szCs w:val="4"/>
              </w:rPr>
            </w:r>
          </w:p>
        </w:tc>
      </w:tr>
      <w:tr>
        <w:trPr/>
        <w:tc>
          <w:tcPr>
            <w:tcW w:w="7724" w:type="dxa"/>
            <w:gridSpan w:val="25"/>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11"/>
              </w:rPr>
              <w:t>2</w:t>
            </w:r>
            <w:r>
              <w:rPr>
                <w:color w:val="000000"/>
              </w:rPr>
              <w:t xml:space="preserve"> </w:t>
            </w:r>
            <w:r>
              <w:rPr>
                <w:rFonts w:ascii="Arial;sans-serif" w:hAnsi="Arial;sans-serif"/>
                <w:b w:val="false"/>
                <w:color w:val="000000"/>
                <w:sz w:val="17"/>
              </w:rPr>
              <w:t>Adjustments were tax effected using the statutory tax rates in the applicable jurisdictions or the effective tax rate, where applicable, for each period.</w:t>
            </w:r>
          </w:p>
        </w:tc>
        <w:tc>
          <w:tcPr>
            <w:tcW w:w="4918" w:type="dxa"/>
            <w:gridSpan w:val="13"/>
            <w:tcBorders/>
          </w:tcPr>
          <w:p>
            <w:pPr>
              <w:pStyle w:val="TableContents"/>
              <w:bidi w:val="0"/>
              <w:spacing w:before="0" w:after="283"/>
              <w:jc w:val="left"/>
              <w:rPr>
                <w:sz w:val="4"/>
                <w:szCs w:val="4"/>
              </w:rPr>
            </w:pPr>
            <w:r>
              <w:rPr>
                <w:sz w:val="4"/>
                <w:szCs w:val="4"/>
              </w:rPr>
            </w:r>
          </w:p>
        </w:tc>
      </w:tr>
      <w:tr>
        <w:trPr/>
        <w:tc>
          <w:tcPr>
            <w:tcW w:w="7724" w:type="dxa"/>
            <w:gridSpan w:val="25"/>
            <w:tcBorders/>
            <w:shd w:fill="FFFFFF" w:val="clear"/>
            <w:tcMar>
              <w:top w:w="0" w:type="dxa"/>
              <w:left w:w="0" w:type="dxa"/>
              <w:bottom w:w="0" w:type="dxa"/>
              <w:right w:w="0" w:type="dxa"/>
            </w:tcMar>
            <w:vAlign w:val="center"/>
          </w:tcPr>
          <w:p>
            <w:pPr>
              <w:pStyle w:val="TableContents"/>
              <w:bidi w:val="0"/>
              <w:spacing w:lineRule="auto" w:line="268" w:before="40" w:after="283"/>
              <w:jc w:val="both"/>
              <w:rPr/>
            </w:pPr>
            <w:r>
              <w:rPr>
                <w:rFonts w:ascii="Arial;sans-serif" w:hAnsi="Arial;sans-serif"/>
                <w:b w:val="false"/>
                <w:color w:val="000000"/>
                <w:sz w:val="11"/>
              </w:rPr>
              <w:t>3</w:t>
            </w:r>
            <w:r>
              <w:rPr>
                <w:color w:val="000000"/>
              </w:rPr>
              <w:t xml:space="preserve"> </w:t>
            </w:r>
            <w:r>
              <w:rPr>
                <w:rFonts w:ascii="Arial;sans-serif" w:hAnsi="Arial;sans-serif"/>
                <w:b w:val="false"/>
                <w:color w:val="000000"/>
                <w:sz w:val="17"/>
              </w:rPr>
              <w:t xml:space="preserve">Restructuring and other costs relate to actions taken for headcount reductions, facility consolidations and site closures, product line exits, and other asset charges. Q1 2026, Q2 2026 and YTD 2026 includes other costs of $3.0 million, $4.3 million and $7.3 million, respectively, associated with a footprint reduction in our Climate &amp; Sustainability Technologies segment. Q2 2025, Q3 2025, Q4 2025 and FY 2025 include other costs of $1.9 million, $1.8 million, $2.6 million and $6.3 million, respectively, associated with a footprint reduction within our Climate &amp; Sustainability Technologies segment. Q2 2025 and FY 2025 include other costs of $4.0 million associated with a product line exit within our Climate &amp; Sustainability Technologies segment. </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r>
        <w:trPr/>
        <w:tc>
          <w:tcPr>
            <w:tcW w:w="7724"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1"/>
              </w:rPr>
              <w:t>4</w:t>
            </w:r>
            <w:r>
              <w:rPr>
                <w:color w:val="000000"/>
              </w:rPr>
              <w:t xml:space="preserve"> </w:t>
            </w:r>
            <w:r>
              <w:rPr>
                <w:rFonts w:ascii="Arial;sans-serif" w:hAnsi="Arial;sans-serif"/>
                <w:b w:val="false"/>
                <w:color w:val="000000"/>
                <w:sz w:val="17"/>
              </w:rPr>
              <w:t>Gain on dispositions, including post-closing adjustments.</w:t>
            </w:r>
          </w:p>
        </w:tc>
        <w:tc>
          <w:tcPr>
            <w:tcW w:w="4918" w:type="dxa"/>
            <w:gridSpan w:val="13"/>
            <w:tcBorders/>
          </w:tcPr>
          <w:p>
            <w:pPr>
              <w:pStyle w:val="TableContents"/>
              <w:bidi w:val="0"/>
              <w:spacing w:before="0" w:after="283"/>
              <w:jc w:val="left"/>
              <w:rPr>
                <w:sz w:val="4"/>
                <w:szCs w:val="4"/>
              </w:rPr>
            </w:pPr>
            <w:r>
              <w:rPr>
                <w:sz w:val="4"/>
                <w:szCs w:val="4"/>
              </w:rPr>
            </w:r>
          </w:p>
        </w:tc>
      </w:tr>
      <w:tr>
        <w:trPr/>
        <w:tc>
          <w:tcPr>
            <w:tcW w:w="7724" w:type="dxa"/>
            <w:gridSpan w:val="2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 Per share data and totals may be impacted by rounding.</w:t>
            </w:r>
          </w:p>
        </w:tc>
        <w:tc>
          <w:tcPr>
            <w:tcW w:w="4918"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ADJUSTED SEGMENT EBITDA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tbl>
      <w:tblPr>
        <w:tblW w:w="12822" w:type="dxa"/>
        <w:jc w:val="center"/>
        <w:tblInd w:w="0" w:type="dxa"/>
        <w:tblLayout w:type="fixed"/>
        <w:tblCellMar>
          <w:top w:w="28" w:type="dxa"/>
          <w:left w:w="28" w:type="dxa"/>
          <w:bottom w:w="28" w:type="dxa"/>
          <w:right w:w="28" w:type="dxa"/>
        </w:tblCellMar>
      </w:tblPr>
      <w:tblGrid>
        <w:gridCol w:w="687"/>
        <w:gridCol w:w="354"/>
        <w:gridCol w:w="355"/>
        <w:gridCol w:w="211"/>
        <w:gridCol w:w="826"/>
        <w:gridCol w:w="109"/>
        <w:gridCol w:w="211"/>
        <w:gridCol w:w="826"/>
        <w:gridCol w:w="109"/>
        <w:gridCol w:w="211"/>
        <w:gridCol w:w="841"/>
        <w:gridCol w:w="109"/>
        <w:gridCol w:w="109"/>
        <w:gridCol w:w="109"/>
        <w:gridCol w:w="109"/>
        <w:gridCol w:w="109"/>
        <w:gridCol w:w="109"/>
        <w:gridCol w:w="109"/>
        <w:gridCol w:w="109"/>
        <w:gridCol w:w="211"/>
        <w:gridCol w:w="826"/>
        <w:gridCol w:w="109"/>
        <w:gridCol w:w="211"/>
        <w:gridCol w:w="826"/>
        <w:gridCol w:w="109"/>
        <w:gridCol w:w="211"/>
        <w:gridCol w:w="841"/>
        <w:gridCol w:w="109"/>
        <w:gridCol w:w="211"/>
        <w:gridCol w:w="826"/>
        <w:gridCol w:w="109"/>
        <w:gridCol w:w="109"/>
        <w:gridCol w:w="211"/>
        <w:gridCol w:w="826"/>
        <w:gridCol w:w="109"/>
        <w:gridCol w:w="211"/>
        <w:gridCol w:w="991"/>
        <w:gridCol w:w="154"/>
      </w:tblGrid>
      <w:tr>
        <w:trPr/>
        <w:tc>
          <w:tcPr>
            <w:tcW w:w="68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18" w:type="dxa"/>
            <w:gridSpan w:val="13"/>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ADJUSTED SEGMENT EBITDA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 xml:space="preserve">Engineered Products: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217,266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113,722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107,566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238,761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20.7 %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20.3 %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Clean Energy &amp; Fueling: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418,070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245,250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210,954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452,876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20.3 %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Imaging &amp; Identification: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314,735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171,014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162,834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332,303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28.5 %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Pumps &amp; Process Solutions: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310,779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651,600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54,226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376,356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336,511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705,826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32.8 %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Climate &amp; Sustainability Technologies: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265,647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30,344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155,891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144,311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295,991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18.9 %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Total Segments: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segment earnings </w:t>
            </w:r>
            <w:r>
              <w:rPr>
                <w:rFonts w:ascii="Arial;sans-serif" w:hAnsi="Arial;sans-serif"/>
                <w:b w:val="false"/>
                <w:color w:val="000000"/>
                <w:sz w:val="12"/>
              </w:rPr>
              <w:t>2, 3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980,970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1,867,318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158,439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1,062,233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962,176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2,025,757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25.0 %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Other depreciation and amortization relates to property, plant, and equipment and intangibles, and excludes amounts related to purchase accounting expenses and restructuring and other costs.</w:t>
            </w:r>
          </w:p>
        </w:tc>
        <w:tc>
          <w:tcPr>
            <w:tcW w:w="4918" w:type="dxa"/>
            <w:gridSpan w:val="13"/>
            <w:tcBorders/>
          </w:tcPr>
          <w:p>
            <w:pPr>
              <w:pStyle w:val="TableContents"/>
              <w:bidi w:val="0"/>
              <w:spacing w:before="0" w:after="283"/>
              <w:jc w:val="left"/>
              <w:rPr>
                <w:sz w:val="4"/>
                <w:szCs w:val="4"/>
              </w:rPr>
            </w:pPr>
            <w:r>
              <w:rPr>
                <w:sz w:val="4"/>
                <w:szCs w:val="4"/>
              </w:rPr>
            </w:r>
          </w:p>
        </w:tc>
      </w:tr>
      <w:tr>
        <w:trPr/>
        <w:tc>
          <w:tcPr>
            <w:tcW w:w="7904"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Refer to Non-GAAP Measures Definitions section for definition.</w:t>
            </w:r>
          </w:p>
        </w:tc>
        <w:tc>
          <w:tcPr>
            <w:tcW w:w="4918" w:type="dxa"/>
            <w:gridSpan w:val="13"/>
            <w:tcBorders/>
          </w:tcPr>
          <w:p>
            <w:pPr>
              <w:pStyle w:val="TableContents"/>
              <w:bidi w:val="0"/>
              <w:spacing w:before="0" w:after="283"/>
              <w:jc w:val="left"/>
              <w:rPr>
                <w:sz w:val="4"/>
                <w:szCs w:val="4"/>
              </w:rPr>
            </w:pPr>
            <w:r>
              <w:rPr>
                <w:sz w:val="4"/>
                <w:szCs w:val="4"/>
              </w:rPr>
            </w:r>
          </w:p>
        </w:tc>
      </w:tr>
      <w:tr>
        <w:trPr/>
        <w:tc>
          <w:tcPr>
            <w:tcW w:w="7904"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Refer to Quarterly Segment Information section for reconciliation of total segment earnings to earnings from continuing operations.</w:t>
            </w:r>
          </w:p>
        </w:tc>
        <w:tc>
          <w:tcPr>
            <w:tcW w:w="4918" w:type="dxa"/>
            <w:gridSpan w:val="1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- 5</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EARNINGS FROM CONTINUING OPERATIONS TO ADJUSTED SEGMENT EBITDA RECONCILIATION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tbl>
      <w:tblPr>
        <w:tblW w:w="12792" w:type="dxa"/>
        <w:jc w:val="center"/>
        <w:tblInd w:w="0" w:type="dxa"/>
        <w:tblLayout w:type="fixed"/>
        <w:tblCellMar>
          <w:top w:w="28" w:type="dxa"/>
          <w:left w:w="28" w:type="dxa"/>
          <w:bottom w:w="28" w:type="dxa"/>
          <w:right w:w="28" w:type="dxa"/>
        </w:tblCellMar>
      </w:tblPr>
      <w:tblGrid>
        <w:gridCol w:w="584"/>
        <w:gridCol w:w="315"/>
        <w:gridCol w:w="317"/>
        <w:gridCol w:w="211"/>
        <w:gridCol w:w="826"/>
        <w:gridCol w:w="109"/>
        <w:gridCol w:w="211"/>
        <w:gridCol w:w="826"/>
        <w:gridCol w:w="109"/>
        <w:gridCol w:w="211"/>
        <w:gridCol w:w="991"/>
        <w:gridCol w:w="109"/>
        <w:gridCol w:w="109"/>
        <w:gridCol w:w="109"/>
        <w:gridCol w:w="109"/>
        <w:gridCol w:w="109"/>
        <w:gridCol w:w="109"/>
        <w:gridCol w:w="109"/>
        <w:gridCol w:w="109"/>
        <w:gridCol w:w="211"/>
        <w:gridCol w:w="826"/>
        <w:gridCol w:w="109"/>
        <w:gridCol w:w="211"/>
        <w:gridCol w:w="826"/>
        <w:gridCol w:w="109"/>
        <w:gridCol w:w="211"/>
        <w:gridCol w:w="841"/>
        <w:gridCol w:w="109"/>
        <w:gridCol w:w="211"/>
        <w:gridCol w:w="826"/>
        <w:gridCol w:w="109"/>
        <w:gridCol w:w="109"/>
        <w:gridCol w:w="211"/>
        <w:gridCol w:w="826"/>
        <w:gridCol w:w="109"/>
        <w:gridCol w:w="211"/>
        <w:gridCol w:w="99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551,294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519,371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1,097,429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276,823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provision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686,600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647,478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1,374,252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expense / other </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96,772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164,539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w:t>
            </w:r>
            <w:r>
              <w:rPr>
                <w:rFonts w:ascii="Arial;sans-serif" w:hAnsi="Arial;sans-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77,986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218,445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segment earnings </w:t>
            </w:r>
            <w:r>
              <w:rPr>
                <w:rFonts w:ascii="Arial;sans-serif" w:hAnsi="Arial;sans-serif"/>
                <w:b w:val="false"/>
                <w:color w:val="000000"/>
                <w:sz w:val="12"/>
              </w:rPr>
              <w:t>5</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980,970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885,712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1,867,318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Other depreciation and amortization</w:t>
            </w:r>
            <w:r>
              <w:rPr>
                <w:color w:val="000000"/>
              </w:rPr>
              <w:t xml:space="preserve"> </w:t>
            </w:r>
            <w:r>
              <w:rPr>
                <w:rFonts w:ascii="Arial;sans-serif" w:hAnsi="Arial;sans-serif"/>
                <w:b w:val="false"/>
                <w:color w:val="000000"/>
                <w:sz w:val="12"/>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158,439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adjusted segment EBITDA </w:t>
            </w:r>
            <w:r>
              <w:rPr>
                <w:rFonts w:ascii="Arial;sans-serif" w:hAnsi="Arial;sans-serif"/>
                <w:b w:val="false"/>
                <w:color w:val="000000"/>
                <w:sz w:val="12"/>
              </w:rPr>
              <w:t>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1,062,233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962,176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2,025,757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25"/>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tc>
        <w:tc>
          <w:tcPr>
            <w:tcW w:w="4918" w:type="dxa"/>
            <w:gridSpan w:val="13"/>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6" w:type="dxa"/>
            <w:gridSpan w:val="35"/>
            <w:tcBorders/>
          </w:tcPr>
          <w:p>
            <w:pPr>
              <w:pStyle w:val="TableContents"/>
              <w:bidi w:val="0"/>
              <w:spacing w:before="0" w:after="283"/>
              <w:jc w:val="left"/>
              <w:rPr>
                <w:sz w:val="4"/>
                <w:szCs w:val="4"/>
              </w:rPr>
            </w:pPr>
            <w:r>
              <w:rPr>
                <w:sz w:val="4"/>
                <w:szCs w:val="4"/>
              </w:rPr>
            </w:r>
          </w:p>
        </w:tc>
      </w:tr>
      <w:tr>
        <w:trPr/>
        <w:tc>
          <w:tcPr>
            <w:tcW w:w="7874" w:type="dxa"/>
            <w:gridSpan w:val="25"/>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2"/>
              </w:rPr>
              <w:t xml:space="preserve">2 </w:t>
            </w:r>
            <w:r>
              <w:rPr>
                <w:rFonts w:ascii="Arial;sans-serif" w:hAnsi="Arial;sans-serif"/>
                <w:b w:val="false"/>
                <w:color w:val="000000"/>
                <w:sz w:val="18"/>
              </w:rPr>
              <w:t>Gain on dispositions, including post-closing adjustments.</w:t>
            </w:r>
          </w:p>
        </w:tc>
        <w:tc>
          <w:tcPr>
            <w:tcW w:w="4918" w:type="dxa"/>
            <w:gridSpan w:val="13"/>
            <w:tcBorders/>
          </w:tcPr>
          <w:p>
            <w:pPr>
              <w:pStyle w:val="TableContents"/>
              <w:bidi w:val="0"/>
              <w:spacing w:before="0" w:after="283"/>
              <w:jc w:val="left"/>
              <w:rPr>
                <w:sz w:val="4"/>
                <w:szCs w:val="4"/>
              </w:rPr>
            </w:pPr>
            <w:r>
              <w:rPr>
                <w:sz w:val="4"/>
                <w:szCs w:val="4"/>
              </w:rPr>
            </w:r>
          </w:p>
        </w:tc>
      </w:tr>
      <w:tr>
        <w:trPr/>
        <w:tc>
          <w:tcPr>
            <w:tcW w:w="7874" w:type="dxa"/>
            <w:gridSpan w:val="25"/>
            <w:tcBorders/>
            <w:tcMar>
              <w:top w:w="0" w:type="dxa"/>
              <w:left w:w="0" w:type="dxa"/>
              <w:bottom w:w="0" w:type="dxa"/>
              <w:right w:w="0" w:type="dxa"/>
            </w:tcMar>
            <w:vAlign w:val="center"/>
          </w:tcPr>
          <w:p>
            <w:pPr>
              <w:pStyle w:val="TableContents"/>
              <w:bidi w:val="0"/>
              <w:spacing w:lineRule="auto" w:line="268" w:before="40" w:after="283"/>
              <w:jc w:val="both"/>
              <w:rPr/>
            </w:pPr>
            <w:r>
              <w:rPr>
                <w:rFonts w:ascii="Arial;sans-serif" w:hAnsi="Arial;sans-serif"/>
                <w:b w:val="false"/>
                <w:color w:val="000000"/>
                <w:sz w:val="12"/>
              </w:rPr>
              <w:t xml:space="preserve">3 </w:t>
            </w:r>
            <w:r>
              <w:rPr>
                <w:rFonts w:ascii="Arial;sans-serif" w:hAnsi="Arial;sans-serif"/>
                <w:b w:val="false"/>
                <w:color w:val="000000"/>
                <w:sz w:val="18"/>
              </w:rPr>
              <w:t>Restructuring and other costs relate to actions taken for headcount reductions, facility consolidations and site closures, product line exits, and other asset charges.</w:t>
            </w:r>
          </w:p>
        </w:tc>
        <w:tc>
          <w:tcPr>
            <w:tcW w:w="4918" w:type="dxa"/>
            <w:gridSpan w:val="13"/>
            <w:tcBorders/>
          </w:tcPr>
          <w:p>
            <w:pPr>
              <w:pStyle w:val="TableContents"/>
              <w:bidi w:val="0"/>
              <w:spacing w:before="0" w:after="283"/>
              <w:jc w:val="left"/>
              <w:rPr>
                <w:sz w:val="4"/>
                <w:szCs w:val="4"/>
              </w:rPr>
            </w:pPr>
            <w:r>
              <w:rPr>
                <w:sz w:val="4"/>
                <w:szCs w:val="4"/>
              </w:rPr>
            </w:r>
          </w:p>
        </w:tc>
      </w:tr>
      <w:tr>
        <w:trPr/>
        <w:tc>
          <w:tcPr>
            <w:tcW w:w="7874" w:type="dxa"/>
            <w:gridSpan w:val="25"/>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Purchase accounting expenses are primarily comprised of amortization of intangible assets.</w:t>
            </w:r>
          </w:p>
        </w:tc>
        <w:tc>
          <w:tcPr>
            <w:tcW w:w="4918" w:type="dxa"/>
            <w:gridSpan w:val="13"/>
            <w:tcBorders/>
          </w:tcPr>
          <w:p>
            <w:pPr>
              <w:pStyle w:val="TableContents"/>
              <w:bidi w:val="0"/>
              <w:spacing w:before="0" w:after="283"/>
              <w:jc w:val="left"/>
              <w:rPr>
                <w:sz w:val="4"/>
                <w:szCs w:val="4"/>
              </w:rPr>
            </w:pPr>
            <w:r>
              <w:rPr>
                <w:sz w:val="4"/>
                <w:szCs w:val="4"/>
              </w:rPr>
            </w:r>
          </w:p>
        </w:tc>
      </w:tr>
      <w:tr>
        <w:trPr/>
        <w:tc>
          <w:tcPr>
            <w:tcW w:w="7874"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5</w:t>
            </w:r>
            <w:r>
              <w:rPr>
                <w:color w:val="000000"/>
              </w:rPr>
              <w:t xml:space="preserve"> </w:t>
            </w:r>
            <w:r>
              <w:rPr>
                <w:rFonts w:ascii="Arial;sans-serif" w:hAnsi="Arial;sans-serif"/>
                <w:b w:val="false"/>
                <w:color w:val="000000"/>
                <w:sz w:val="18"/>
              </w:rPr>
              <w:t>Refer to Non-GAAP Measures Definitions section for definition.</w:t>
            </w:r>
          </w:p>
        </w:tc>
        <w:tc>
          <w:tcPr>
            <w:tcW w:w="4918" w:type="dxa"/>
            <w:gridSpan w:val="13"/>
            <w:tcBorders/>
          </w:tcPr>
          <w:p>
            <w:pPr>
              <w:pStyle w:val="TableContents"/>
              <w:bidi w:val="0"/>
              <w:spacing w:before="0" w:after="283"/>
              <w:jc w:val="left"/>
              <w:rPr>
                <w:sz w:val="4"/>
                <w:szCs w:val="4"/>
              </w:rPr>
            </w:pPr>
            <w:r>
              <w:rPr>
                <w:sz w:val="4"/>
                <w:szCs w:val="4"/>
              </w:rPr>
            </w:r>
          </w:p>
        </w:tc>
      </w:tr>
      <w:tr>
        <w:trPr/>
        <w:tc>
          <w:tcPr>
            <w:tcW w:w="7874" w:type="dxa"/>
            <w:gridSpan w:val="2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6</w:t>
            </w:r>
            <w:r>
              <w:rPr>
                <w:color w:val="000000"/>
              </w:rPr>
              <w:t xml:space="preserve"> </w:t>
            </w:r>
            <w:r>
              <w:rPr>
                <w:rFonts w:ascii="Arial;sans-serif" w:hAnsi="Arial;sans-serif"/>
                <w:b w:val="false"/>
                <w:color w:val="000000"/>
                <w:sz w:val="18"/>
              </w:rPr>
              <w:t>Other depreciation and amortization relates to property, plant, and equipment and intangibles, and excludes amounts related to purchase accounting expenses and restructuring and other costs.</w:t>
            </w:r>
          </w:p>
        </w:tc>
        <w:tc>
          <w:tcPr>
            <w:tcW w:w="4918" w:type="dxa"/>
            <w:gridSpan w:val="1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REVENUE GROWTH FACTORS AND ADJUSTED EPS GUIDANCE RECONCILIATIONS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shd w:fill="FFFFFF" w:val="clear"/>
        </w:rPr>
      </w:pPr>
      <w:r>
        <w:rPr>
          <w:rFonts w:ascii="Arial;sans-serif" w:hAnsi="Arial;sans-serif"/>
          <w:b/>
          <w:color w:val="000000"/>
          <w:sz w:val="18"/>
          <w:u w:val="single"/>
          <w:shd w:fill="FFFFFF" w:val="clear"/>
        </w:rPr>
        <w:t>Revenue Growth Factors</w:t>
      </w:r>
    </w:p>
    <w:tbl>
      <w:tblPr>
        <w:tblW w:w="5949" w:type="dxa"/>
        <w:jc w:val="left"/>
        <w:tblInd w:w="0" w:type="dxa"/>
        <w:tblLayout w:type="fixed"/>
        <w:tblCellMar>
          <w:top w:w="28" w:type="dxa"/>
          <w:left w:w="28" w:type="dxa"/>
          <w:bottom w:w="28" w:type="dxa"/>
          <w:right w:w="28" w:type="dxa"/>
        </w:tblCellMar>
      </w:tblPr>
      <w:tblGrid>
        <w:gridCol w:w="1157"/>
        <w:gridCol w:w="1023"/>
        <w:gridCol w:w="1030"/>
        <w:gridCol w:w="109"/>
        <w:gridCol w:w="109"/>
        <w:gridCol w:w="203"/>
        <w:gridCol w:w="203"/>
        <w:gridCol w:w="271"/>
        <w:gridCol w:w="109"/>
        <w:gridCol w:w="109"/>
        <w:gridCol w:w="109"/>
        <w:gridCol w:w="254"/>
        <w:gridCol w:w="257"/>
        <w:gridCol w:w="416"/>
        <w:gridCol w:w="109"/>
        <w:gridCol w:w="109"/>
        <w:gridCol w:w="109"/>
        <w:gridCol w:w="109"/>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90" w:type="dxa"/>
            <w:gridSpan w:val="5"/>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Pumps &amp; Process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Climate &amp; Sustainability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Totals may be impacted by rounding.</w:t>
      </w:r>
    </w:p>
    <w:tbl>
      <w:tblPr>
        <w:tblW w:w="4660" w:type="dxa"/>
        <w:jc w:val="center"/>
        <w:tblInd w:w="0" w:type="dxa"/>
        <w:tblLayout w:type="fixed"/>
        <w:tblCellMar>
          <w:top w:w="28" w:type="dxa"/>
          <w:left w:w="28" w:type="dxa"/>
          <w:bottom w:w="28" w:type="dxa"/>
          <w:right w:w="28" w:type="dxa"/>
        </w:tblCellMar>
      </w:tblPr>
      <w:tblGrid>
        <w:gridCol w:w="640"/>
        <w:gridCol w:w="564"/>
        <w:gridCol w:w="565"/>
        <w:gridCol w:w="109"/>
        <w:gridCol w:w="109"/>
        <w:gridCol w:w="239"/>
        <w:gridCol w:w="241"/>
        <w:gridCol w:w="271"/>
        <w:gridCol w:w="109"/>
        <w:gridCol w:w="109"/>
        <w:gridCol w:w="109"/>
        <w:gridCol w:w="239"/>
        <w:gridCol w:w="241"/>
        <w:gridCol w:w="416"/>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Asia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Totals may be impacted by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45"/>
        <w:gridCol w:w="2221"/>
        <w:gridCol w:w="2234"/>
        <w:gridCol w:w="276"/>
        <w:gridCol w:w="827"/>
        <w:gridCol w:w="142"/>
        <w:gridCol w:w="255"/>
        <w:gridCol w:w="256"/>
        <w:gridCol w:w="142"/>
        <w:gridCol w:w="276"/>
        <w:gridCol w:w="827"/>
        <w:gridCol w:w="204"/>
      </w:tblGrid>
      <w:tr>
        <w:trPr/>
        <w:tc>
          <w:tcPr>
            <w:tcW w:w="2545"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Adjusted EPS Guidance Reconciliation*</w:t>
            </w:r>
          </w:p>
        </w:tc>
      </w:tr>
      <w:tr>
        <w:trPr/>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Range</w:t>
            </w:r>
          </w:p>
        </w:tc>
      </w:tr>
      <w:tr>
        <w:trPr/>
        <w:tc>
          <w:tcPr>
            <w:tcW w:w="70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2026 Guidance for Earnings per Share from Continuing Operations (GAAP)</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8.94</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9.14</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 accounting expenses, net</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costs, net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0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2026 Guidance for Adjusted Earnings per Share from Continuing Operations (Non-GAAP)</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10.55</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10.75</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Per share data and totals may be impacted by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CASH FLOW AND FREE CASH FLOW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Quarterly Cash Flow</w:t>
      </w:r>
    </w:p>
    <w:tbl>
      <w:tblPr>
        <w:tblW w:w="12357" w:type="dxa"/>
        <w:jc w:val="left"/>
        <w:tblInd w:w="0" w:type="dxa"/>
        <w:tblLayout w:type="fixed"/>
        <w:tblCellMar>
          <w:top w:w="28" w:type="dxa"/>
          <w:left w:w="28" w:type="dxa"/>
          <w:bottom w:w="28" w:type="dxa"/>
          <w:right w:w="28" w:type="dxa"/>
        </w:tblCellMar>
      </w:tblPr>
      <w:tblGrid>
        <w:gridCol w:w="337"/>
        <w:gridCol w:w="296"/>
        <w:gridCol w:w="298"/>
        <w:gridCol w:w="211"/>
        <w:gridCol w:w="826"/>
        <w:gridCol w:w="109"/>
        <w:gridCol w:w="211"/>
        <w:gridCol w:w="826"/>
        <w:gridCol w:w="109"/>
        <w:gridCol w:w="211"/>
        <w:gridCol w:w="841"/>
        <w:gridCol w:w="109"/>
        <w:gridCol w:w="109"/>
        <w:gridCol w:w="109"/>
        <w:gridCol w:w="109"/>
        <w:gridCol w:w="109"/>
        <w:gridCol w:w="109"/>
        <w:gridCol w:w="109"/>
        <w:gridCol w:w="109"/>
        <w:gridCol w:w="211"/>
        <w:gridCol w:w="826"/>
        <w:gridCol w:w="109"/>
        <w:gridCol w:w="211"/>
        <w:gridCol w:w="826"/>
        <w:gridCol w:w="109"/>
        <w:gridCol w:w="211"/>
        <w:gridCol w:w="841"/>
        <w:gridCol w:w="109"/>
        <w:gridCol w:w="211"/>
        <w:gridCol w:w="826"/>
        <w:gridCol w:w="109"/>
        <w:gridCol w:w="109"/>
        <w:gridCol w:w="211"/>
        <w:gridCol w:w="826"/>
        <w:gridCol w:w="109"/>
        <w:gridCol w:w="211"/>
        <w:gridCol w:w="991"/>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18" w:type="dxa"/>
            <w:gridSpan w:val="13"/>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438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1,338,005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(886,594)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(235,037)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(206,469)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(624,870)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Quarterly Free Cash Flow (Non-GAAP)</w:t>
      </w:r>
    </w:p>
    <w:tbl>
      <w:tblPr>
        <w:tblW w:w="12612" w:type="dxa"/>
        <w:jc w:val="left"/>
        <w:tblInd w:w="0" w:type="dxa"/>
        <w:tblLayout w:type="fixed"/>
        <w:tblCellMar>
          <w:top w:w="28" w:type="dxa"/>
          <w:left w:w="28" w:type="dxa"/>
          <w:bottom w:w="28" w:type="dxa"/>
          <w:right w:w="28" w:type="dxa"/>
        </w:tblCellMar>
      </w:tblPr>
      <w:tblGrid>
        <w:gridCol w:w="611"/>
        <w:gridCol w:w="287"/>
        <w:gridCol w:w="288"/>
        <w:gridCol w:w="211"/>
        <w:gridCol w:w="826"/>
        <w:gridCol w:w="109"/>
        <w:gridCol w:w="211"/>
        <w:gridCol w:w="826"/>
        <w:gridCol w:w="109"/>
        <w:gridCol w:w="211"/>
        <w:gridCol w:w="841"/>
        <w:gridCol w:w="109"/>
        <w:gridCol w:w="109"/>
        <w:gridCol w:w="109"/>
        <w:gridCol w:w="109"/>
        <w:gridCol w:w="109"/>
        <w:gridCol w:w="109"/>
        <w:gridCol w:w="109"/>
        <w:gridCol w:w="109"/>
        <w:gridCol w:w="211"/>
        <w:gridCol w:w="826"/>
        <w:gridCol w:w="109"/>
        <w:gridCol w:w="211"/>
        <w:gridCol w:w="826"/>
        <w:gridCol w:w="109"/>
        <w:gridCol w:w="211"/>
        <w:gridCol w:w="841"/>
        <w:gridCol w:w="109"/>
        <w:gridCol w:w="211"/>
        <w:gridCol w:w="826"/>
        <w:gridCol w:w="109"/>
        <w:gridCol w:w="109"/>
        <w:gridCol w:w="211"/>
        <w:gridCol w:w="826"/>
        <w:gridCol w:w="109"/>
        <w:gridCol w:w="211"/>
        <w:gridCol w:w="99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18" w:type="dxa"/>
            <w:gridSpan w:val="13"/>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 from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427,168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369,814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1,338,005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(109,124)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319,577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260,690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1,117,742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from operating activities as a percentage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16.5 %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 from operating activities as a percentage of adjusted earnings from continuing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62.7 %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59.7 %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101.0 %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as a percentage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6.7 %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13.8 %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Free cash flow as a percentage of adjusted earnings from continuing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84.4 %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26" w:type="dxa"/>
            <w:gridSpan w:val="35"/>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PERFORMANCE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tbl>
      <w:tblPr>
        <w:tblW w:w="14007" w:type="dxa"/>
        <w:jc w:val="center"/>
        <w:tblInd w:w="0" w:type="dxa"/>
        <w:tblLayout w:type="fixed"/>
        <w:tblCellMar>
          <w:top w:w="28" w:type="dxa"/>
          <w:left w:w="28" w:type="dxa"/>
          <w:bottom w:w="28" w:type="dxa"/>
          <w:right w:w="28" w:type="dxa"/>
        </w:tblCellMar>
      </w:tblPr>
      <w:tblGrid>
        <w:gridCol w:w="682"/>
        <w:gridCol w:w="349"/>
        <w:gridCol w:w="350"/>
        <w:gridCol w:w="211"/>
        <w:gridCol w:w="976"/>
        <w:gridCol w:w="109"/>
        <w:gridCol w:w="211"/>
        <w:gridCol w:w="976"/>
        <w:gridCol w:w="109"/>
        <w:gridCol w:w="211"/>
        <w:gridCol w:w="991"/>
        <w:gridCol w:w="109"/>
        <w:gridCol w:w="109"/>
        <w:gridCol w:w="109"/>
        <w:gridCol w:w="109"/>
        <w:gridCol w:w="109"/>
        <w:gridCol w:w="109"/>
        <w:gridCol w:w="109"/>
        <w:gridCol w:w="109"/>
        <w:gridCol w:w="211"/>
        <w:gridCol w:w="976"/>
        <w:gridCol w:w="109"/>
        <w:gridCol w:w="211"/>
        <w:gridCol w:w="976"/>
        <w:gridCol w:w="109"/>
        <w:gridCol w:w="211"/>
        <w:gridCol w:w="991"/>
        <w:gridCol w:w="109"/>
        <w:gridCol w:w="211"/>
        <w:gridCol w:w="976"/>
        <w:gridCol w:w="109"/>
        <w:gridCol w:w="109"/>
        <w:gridCol w:w="211"/>
        <w:gridCol w:w="976"/>
        <w:gridCol w:w="109"/>
        <w:gridCol w:w="211"/>
        <w:gridCol w:w="99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368" w:type="dxa"/>
            <w:gridSpan w:val="13"/>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 YTD</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u w:val="single"/>
              </w:rPr>
            </w:pPr>
            <w:r>
              <w:rPr>
                <w:rFonts w:ascii="Arial;sans-serif" w:hAnsi="Arial;sans-serif"/>
                <w:b/>
                <w:color w:val="000000"/>
                <w:sz w:val="18"/>
                <w:u w:val="single"/>
              </w:rPr>
              <w:t>BOOKINGS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571,157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1,095,624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1,217,821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1,070,678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2,167,272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615,417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580,261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1,174,537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Pumps &amp; Process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1,187,598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1,029,445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2,041,184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Climate &amp; Sustainability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1,207,232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779,869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1,665,049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bookings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4,795,029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3,998,175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2,139,713 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8,137,627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- 9</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Non-GAAP Measures Definitions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an effort to provide investors with additional information regarding our results as determined by GAAP, management also discloses non-GAAP information that management believes provides useful information to investors. Adjusted earnings from continuing operations, adjusted diluted earnings per share from continuing operations, total segment earnings, total segment earnings margin, adjusted segment EBITDA, adjusted segment EBITDA margin, free cash flow, free cash flow as a percentage of revenue, free cash flow as a percentage of adjusted earnings from continuing operations, and organic revenue growth are not financial measures under GAAP and should not be considered as a substitute for earnings from continuing operations, diluted earnings per share from continuing operations, cash flows from operating activities, or revenue as determined in accordance with GAAP, and they may not be comparable to similarly titled measures reported by other companies.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items described in our definitions herein, unless otherwise noted, relate solely to our continuing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Adjusted earnings from continuing operations represents earnings from continuing operations adjusted for the effect of purchase accounting expenses, restructuring and other costs/benefits and gain/loss on dispositions.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diluted earnings per share from continuing operations or adjusted earnings per share from continuing operations represents diluted earnings per share from continuing operations adjusted for the effect of purchase accounting expenses, restructuring and other costs/benefits and gain/loss on disposition.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segment earnings is defined as the sum of earnings before purchase accounting expenses, restructuring and other costs/benefits, gain/loss on dispositions, corporate expenses/other, interest expense, interest income and provision for income taxes for all segments. Total segment earnings margin is defined as total segment earnings divided by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segment EBITDA is defined as segment earnings plus other depreciation and amortization expense, which relates to property, plant, and equipment and intangibles, and excludes amounts related to purchase accounting expenses and restructuring and other costs/benefits. Adjusted segment EBITDA margin is defined as adjusted segment EBITDA divided by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the non-GAAP measures above are useful to investors to better understand the Company’s ongoing profitability as they better reflect the Company's core operating results, offer more transparency and facilitate easier comparability to prior and future periods and to its peers.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Free cash flow represents net cash provided by operating activities minus capital expenditures. Free cash flow as a percentage of revenue equals free cash flow divided by revenue. Free cash flow as a percentage of adjusted earnings from continuing operations equals free cash flow divided by adjusted earnings from continuing operations.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that reporting organic revenue growth, which excludes the impact of foreign currency exchange rates and the impact of acquisitions and dispositions, provides a useful comparison of our revenue and trends between periods. We do not provide a reconciliation of forward-looking organic revenue to the most directly comparable GAAP financial measure pursuant to the exception provided in Item 10(e)(1)(i)(B) of Regulation S-K because we are not able to provide a meaningful or accurate compilation of reconciling items. This is due to the inherent difficulty in accurately forecasting the timing and amounts of the items that would be excluded from the most directly comparable GAAP financial measure or are out of our control. For the same reasons, we are unable to address the probable significance of unavailable information which may be material.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- 10</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Performance Measures Definitions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Bookings represent total orders received from customers in the current reporting period and exclude de-bookings related to orders received in prior periods, if any. This metric is an important measure of performance and an indicator of revenue order trends.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We use the above operational metric in monitoring the performance of the business. We believe the operational metric is useful to investors and other users of our financial information in assessing the performance of our segments. </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5526</Words>
  <Characters>30438</Characters>
  <CharactersWithSpaces>34962</CharactersWithSpaces>
  <Paragraphs>1942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